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NOLAN KERMIT</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20" w:type="dxa"/>
            <w:vAlign w:val="bottom"/>
            <w:tcBorders>
              <w:top w:val="single" w:sz="8" w:color="0000EE"/>
              <w:bottom w:val="single" w:sz="8" w:color="9A9A9A"/>
            </w:tcBorders>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10/28/2026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SYNAPTICS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SYNA</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rPr>
          <w:sz w:val="20"/>
          <w:szCs w:val="20"/>
          <w:color w:val="auto"/>
        </w:rPr>
      </w:pPr>
      <w:r>
        <w:rPr>
          <w:rFonts w:ascii="Arial" w:cs="Arial" w:eastAsia="Arial" w:hAnsi="Arial"/>
          <w:sz w:val="15"/>
          <w:szCs w:val="15"/>
          <w:color w:val="auto"/>
        </w:rPr>
        <w:t>Foreign Trading Symbol</w:t>
      </w:r>
    </w:p>
    <w:p>
      <w:pPr>
        <w:spacing w:after="0" w:line="24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80" w:type="dxa"/>
            <w:vAlign w:val="bottom"/>
          </w:tcPr>
          <w:p>
            <w:pPr>
              <w:ind w:left="40"/>
              <w:spacing w:after="0"/>
              <w:rPr>
                <w:sz w:val="20"/>
                <w:szCs w:val="20"/>
                <w:color w:val="auto"/>
              </w:rPr>
            </w:pPr>
            <w:r>
              <w:rPr>
                <w:rFonts w:ascii="Arial" w:cs="Arial" w:eastAsia="Arial" w:hAnsi="Arial"/>
                <w:sz w:val="15"/>
                <w:szCs w:val="15"/>
                <w:color w:val="auto"/>
              </w:rPr>
              <w:t>(Last)</w:t>
            </w:r>
          </w:p>
        </w:tc>
        <w:tc>
          <w:tcPr>
            <w:tcW w:w="980" w:type="dxa"/>
            <w:vAlign w:val="bottom"/>
          </w:tcPr>
          <w:p>
            <w:pPr>
              <w:ind w:left="80"/>
              <w:spacing w:after="0"/>
              <w:rPr>
                <w:sz w:val="20"/>
                <w:szCs w:val="20"/>
                <w:color w:val="auto"/>
              </w:rPr>
            </w:pPr>
            <w:r>
              <w:rPr>
                <w:rFonts w:ascii="Arial" w:cs="Arial" w:eastAsia="Arial" w:hAnsi="Arial"/>
                <w:sz w:val="15"/>
                <w:szCs w:val="15"/>
                <w:color w:val="auto"/>
              </w:rPr>
              <w:t>(First)</w:t>
            </w:r>
          </w:p>
        </w:tc>
        <w:tc>
          <w:tcPr>
            <w:tcW w:w="1140" w:type="dxa"/>
            <w:vAlign w:val="bottom"/>
          </w:tcPr>
          <w:p>
            <w:pPr>
              <w:ind w:left="140"/>
              <w:spacing w:after="0"/>
              <w:rPr>
                <w:sz w:val="20"/>
                <w:szCs w:val="20"/>
                <w:color w:val="auto"/>
              </w:rPr>
            </w:pPr>
            <w:r>
              <w:rPr>
                <w:rFonts w:ascii="Arial" w:cs="Arial" w:eastAsia="Arial" w:hAnsi="Arial"/>
                <w:sz w:val="15"/>
                <w:szCs w:val="15"/>
                <w:color w:val="auto"/>
              </w:rPr>
              <w:t>(Middle)</w:t>
            </w:r>
          </w:p>
        </w:tc>
      </w:tr>
      <w:tr>
        <w:trPr>
          <w:trHeight w:val="310"/>
        </w:trPr>
        <w:tc>
          <w:tcPr>
            <w:tcW w:w="19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1109 MCKAY DRIVE</w:t>
            </w:r>
          </w:p>
        </w:tc>
        <w:tc>
          <w:tcPr>
            <w:tcW w:w="1140" w:type="dxa"/>
            <w:vAlign w:val="bottom"/>
          </w:tcPr>
          <w:p>
            <w:pPr>
              <w:spacing w:after="0"/>
              <w:rPr>
                <w:sz w:val="24"/>
                <w:szCs w:val="24"/>
                <w:color w:val="auto"/>
              </w:rPr>
            </w:pPr>
          </w:p>
        </w:tc>
      </w:tr>
      <w:tr>
        <w:trPr>
          <w:trHeight w:val="237"/>
        </w:trPr>
        <w:tc>
          <w:tcPr>
            <w:tcW w:w="98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140" w:type="dxa"/>
            <w:vAlign w:val="bottom"/>
            <w:tcBorders>
              <w:bottom w:val="single" w:sz="8" w:color="9A9A9A"/>
            </w:tcBorders>
          </w:tcPr>
          <w:p>
            <w:pPr>
              <w:spacing w:after="0"/>
              <w:rPr>
                <w:sz w:val="20"/>
                <w:szCs w:val="20"/>
                <w:color w:val="auto"/>
              </w:rPr>
            </w:pPr>
          </w:p>
        </w:tc>
      </w:tr>
      <w:tr>
        <w:trPr>
          <w:trHeight w:val="303"/>
        </w:trPr>
        <w:tc>
          <w:tcPr>
            <w:tcW w:w="98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65"/>
        </w:trPr>
        <w:tc>
          <w:tcPr>
            <w:tcW w:w="9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SAN JOSE</w:t>
            </w:r>
          </w:p>
        </w:tc>
        <w:tc>
          <w:tcPr>
            <w:tcW w:w="9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CA</w:t>
            </w:r>
          </w:p>
        </w:tc>
        <w:tc>
          <w:tcPr>
            <w:tcW w:w="1140" w:type="dxa"/>
            <w:vAlign w:val="bottom"/>
          </w:tcPr>
          <w:p>
            <w:pPr>
              <w:ind w:left="140"/>
              <w:spacing w:after="0"/>
              <w:rPr>
                <w:sz w:val="20"/>
                <w:szCs w:val="20"/>
                <w:color w:val="auto"/>
              </w:rPr>
            </w:pPr>
            <w:r>
              <w:rPr>
                <w:rFonts w:ascii="Times New Roman" w:cs="Times New Roman" w:eastAsia="Times New Roman" w:hAnsi="Times New Roman"/>
                <w:sz w:val="20"/>
                <w:szCs w:val="20"/>
                <w:color w:val="0000FF"/>
              </w:rPr>
              <w:t>95131</w:t>
            </w:r>
          </w:p>
        </w:tc>
      </w:tr>
      <w:tr>
        <w:trPr>
          <w:trHeight w:val="177"/>
        </w:trPr>
        <w:tc>
          <w:tcPr>
            <w:tcW w:w="98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r>
      <w:tr>
        <w:trPr>
          <w:trHeight w:val="348"/>
        </w:trPr>
        <w:tc>
          <w:tcPr>
            <w:tcW w:w="980" w:type="dxa"/>
            <w:vAlign w:val="bottom"/>
          </w:tcPr>
          <w:p>
            <w:pPr>
              <w:ind w:left="40"/>
              <w:spacing w:after="0"/>
              <w:rPr>
                <w:sz w:val="20"/>
                <w:szCs w:val="20"/>
                <w:color w:val="auto"/>
              </w:rPr>
            </w:pPr>
            <w:r>
              <w:rPr>
                <w:rFonts w:ascii="Arial" w:cs="Arial" w:eastAsia="Arial" w:hAnsi="Arial"/>
                <w:sz w:val="15"/>
                <w:szCs w:val="15"/>
                <w:color w:val="auto"/>
              </w:rPr>
              <w:t>(City)</w:t>
            </w:r>
          </w:p>
        </w:tc>
        <w:tc>
          <w:tcPr>
            <w:tcW w:w="980" w:type="dxa"/>
            <w:vAlign w:val="bottom"/>
          </w:tcPr>
          <w:p>
            <w:pPr>
              <w:ind w:left="80"/>
              <w:spacing w:after="0"/>
              <w:rPr>
                <w:sz w:val="20"/>
                <w:szCs w:val="20"/>
                <w:color w:val="auto"/>
              </w:rPr>
            </w:pPr>
            <w:r>
              <w:rPr>
                <w:rFonts w:ascii="Arial" w:cs="Arial" w:eastAsia="Arial" w:hAnsi="Arial"/>
                <w:sz w:val="15"/>
                <w:szCs w:val="15"/>
                <w:color w:val="auto"/>
              </w:rPr>
              <w:t>(State)</w:t>
            </w:r>
          </w:p>
        </w:tc>
        <w:tc>
          <w:tcPr>
            <w:tcW w:w="1140" w:type="dxa"/>
            <w:vAlign w:val="bottom"/>
          </w:tcPr>
          <w:p>
            <w:pPr>
              <w:ind w:left="14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43"/>
        <w:spacing w:after="0"/>
        <w:rPr>
          <w:sz w:val="20"/>
          <w:szCs w:val="20"/>
          <w:color w:val="auto"/>
        </w:rPr>
      </w:pPr>
      <w:r>
        <w:rPr>
          <w:rFonts w:ascii="Times New Roman" w:cs="Times New Roman" w:eastAsia="Times New Roman" w:hAnsi="Times New Roman"/>
          <w:sz w:val="20"/>
          <w:szCs w:val="20"/>
          <w:color w:val="0000FF"/>
        </w:rPr>
        <w:t>See Remarks</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17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84"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ind w:left="540"/>
              <w:spacing w:after="0"/>
              <w:rPr>
                <w:sz w:val="20"/>
                <w:szCs w:val="20"/>
                <w:color w:val="auto"/>
              </w:rPr>
            </w:pPr>
            <w:r>
              <w:rPr>
                <w:rFonts w:ascii="Times New Roman" w:cs="Times New Roman" w:eastAsia="Times New Roman" w:hAnsi="Times New Roman"/>
                <w:sz w:val="20"/>
                <w:szCs w:val="20"/>
                <w:color w:val="0000FF"/>
              </w:rPr>
              <w:t>5,881</w:t>
            </w:r>
            <w:r>
              <w:rPr>
                <w:rFonts w:ascii="Times New Roman" w:cs="Times New Roman" w:eastAsia="Times New Roman" w:hAnsi="Times New Roman"/>
                <w:sz w:val="25"/>
                <w:szCs w:val="25"/>
                <w:color w:val="008000"/>
                <w:vertAlign w:val="superscript"/>
              </w:rPr>
              <w:t>(1)</w:t>
            </w:r>
          </w:p>
        </w:tc>
        <w:tc>
          <w:tcPr>
            <w:tcW w:w="10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60" w:type="dxa"/>
            <w:vAlign w:val="bottom"/>
            <w:gridSpan w:val="2"/>
            <w:vMerge w:val="restart"/>
          </w:tcPr>
          <w:p>
            <w:pPr>
              <w:ind w:left="36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gridSpan w:val="2"/>
          </w:tcPr>
          <w:p>
            <w:pPr>
              <w:ind w:left="36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gridSpan w:val="2"/>
          </w:tcPr>
          <w:p>
            <w:pPr>
              <w:ind w:left="36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00" w:type="dxa"/>
            <w:vAlign w:val="bottom"/>
          </w:tcPr>
          <w:p>
            <w:pPr>
              <w:spacing w:after="0"/>
              <w:rPr>
                <w:sz w:val="14"/>
                <w:szCs w:val="14"/>
                <w:color w:val="auto"/>
              </w:rPr>
            </w:pPr>
          </w:p>
        </w:tc>
        <w:tc>
          <w:tcPr>
            <w:tcW w:w="1060" w:type="dxa"/>
            <w:vAlign w:val="bottom"/>
            <w:gridSpan w:val="2"/>
          </w:tcPr>
          <w:p>
            <w:pPr>
              <w:ind w:left="36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0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60" w:type="dxa"/>
            <w:vAlign w:val="bottom"/>
            <w:gridSpan w:val="2"/>
          </w:tcPr>
          <w:p>
            <w:pPr>
              <w:ind w:left="36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jc w:val="both"/>
        <w:ind w:left="40" w:right="180" w:firstLine="5"/>
        <w:spacing w:after="0" w:line="23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reporting person was a Section 16 officer of the Issuer in his capacity as Corporate Vice President and Chief Accounting Officer from February 2019 until his retirement at the end of 2023, and as a result filed a Form 3 on February 11, 2019, and filed his last Form 4 on November 17, 2023. The securities reported as beneficially owned in this Form 3 reflect unreported transactions that occurred between November 17, 2023, and October 28, 2026, the date on which the reporting person again became a Section 16 officer of the Issuer. The Amount of Securities Beneficially Owned includes 881 restricted stock units that will vest on December 17, 2026.</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The reporting person is Vice President, Finance (Principal Accounting Officer). Exhibit List Exhibit 24 - Limited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Pamela Fields, as</w:t>
            </w:r>
          </w:p>
        </w:tc>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4"/>
              </w:rPr>
              <w:t>11/02/2026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600" w:type="dxa"/>
            <w:vAlign w:val="bottom"/>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LIMITED POWER OF ATTORNEY</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SECTION 16 REPORTING OBLIGATIONS</w:t>
      </w:r>
    </w:p>
    <w:p>
      <w:pPr>
        <w:spacing w:after="0" w:line="26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Know all by these presents, that the undersigned hereby makes, constitutes and appoints each of Pamela Fields, Lisa Bodensteiner, Amanda Coullahan and Yohei Kojima as the undersigned’s true and lawful attorney-in-fact, with full power and authority as hereinafter described on behalf of and in the name, place and stead of the undersigned to:</w:t>
      </w:r>
    </w:p>
    <w:p>
      <w:pPr>
        <w:spacing w:after="0" w:line="226" w:lineRule="exact"/>
        <w:rPr>
          <w:sz w:val="20"/>
          <w:szCs w:val="20"/>
          <w:color w:val="auto"/>
        </w:rPr>
      </w:pPr>
    </w:p>
    <w:p>
      <w:pPr>
        <w:jc w:val="both"/>
        <w:spacing w:after="0" w:line="256" w:lineRule="auto"/>
        <w:tabs>
          <w:tab w:leader="none" w:pos="713"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credentials (including codes or passwords) to enable the undersigned to submit and file documents, forms and information required by Section 16(a) of the Exchange Act or any rule or regulation of the United States Securities and Exchange Commission (the “SEC”) via the Electronic Data Gathering and Retrieval (“EDGAR”) system, including: (i) preparing, executing in the undersigned’s name and on the undersigned’s behalf, and submitting to the SEC a Form ID, including amendments thereto, and any other documents necessary or appropriate to obtain such credentials and legally binding the undersigned for purpose of the Form ID or such other document; and (ii) enrolling the undersigned in EDGAR Next or any successor filing system;</w:t>
      </w:r>
    </w:p>
    <w:p>
      <w:pPr>
        <w:spacing w:after="0" w:line="238" w:lineRule="exact"/>
        <w:rPr>
          <w:rFonts w:ascii="Times New Roman" w:cs="Times New Roman" w:eastAsia="Times New Roman" w:hAnsi="Times New Roman"/>
          <w:sz w:val="20"/>
          <w:szCs w:val="20"/>
          <w:color w:val="auto"/>
        </w:rPr>
      </w:pPr>
    </w:p>
    <w:p>
      <w:pPr>
        <w:jc w:val="both"/>
        <w:spacing w:after="0" w:line="261" w:lineRule="auto"/>
        <w:tabs>
          <w:tab w:leader="none" w:pos="713"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 as an account administrator for the undersigned’s EDGAR account, including: (i) appointing, removing and replacing account administrators, technical administrators, account users, and delegated entities; (ii) maintaining the security of the undersigned’s EDGAR account; including modification of access codes; (iii) maintaining, modifying and certifying the accuracy of information on the undersigned’s EDGAR account dashboard; and (iv) taking any other actions contemplated by Rule 10 of Regulation S-T;</w:t>
      </w:r>
    </w:p>
    <w:p>
      <w:pPr>
        <w:spacing w:after="0" w:line="230" w:lineRule="exact"/>
        <w:rPr>
          <w:rFonts w:ascii="Times New Roman" w:cs="Times New Roman" w:eastAsia="Times New Roman" w:hAnsi="Times New Roman"/>
          <w:sz w:val="20"/>
          <w:szCs w:val="20"/>
          <w:color w:val="auto"/>
        </w:rPr>
      </w:pPr>
    </w:p>
    <w:p>
      <w:pPr>
        <w:jc w:val="both"/>
        <w:ind w:right="20"/>
        <w:spacing w:after="0" w:line="266" w:lineRule="auto"/>
        <w:tabs>
          <w:tab w:leader="none" w:pos="713"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Synaptics Incorporated, a Delaware corporation (the “Company”), to accept a delegation of authority from the undersigned’s EDGAR account administrators and authorize the Company’s EDGAR account administrators pursuant to that delegated entity designation to appoint, remove or replace users for the undersigned’s EDGAR account;</w:t>
      </w:r>
    </w:p>
    <w:p>
      <w:pPr>
        <w:spacing w:after="0" w:line="225" w:lineRule="exact"/>
        <w:rPr>
          <w:rFonts w:ascii="Times New Roman" w:cs="Times New Roman" w:eastAsia="Times New Roman" w:hAnsi="Times New Roman"/>
          <w:sz w:val="20"/>
          <w:szCs w:val="20"/>
          <w:color w:val="auto"/>
        </w:rPr>
      </w:pPr>
    </w:p>
    <w:p>
      <w:pPr>
        <w:jc w:val="both"/>
        <w:spacing w:after="0" w:line="261" w:lineRule="auto"/>
        <w:tabs>
          <w:tab w:leader="none" w:pos="713"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acknowledge, deliver and file Forms 3, 4 and 5 (including any amendments thereto) with respect to the securities of the Company, with the SEC, any national securities exchanges and the Company, as considered necessary or advisable under Section 16(a) of the Securities Exchange Act of 1934 and the rules and regulations promulgated thereunder, as amended from time to time (the “Exchange Act”);</w:t>
      </w:r>
    </w:p>
    <w:p>
      <w:pPr>
        <w:spacing w:after="0" w:line="230" w:lineRule="exact"/>
        <w:rPr>
          <w:rFonts w:ascii="Times New Roman" w:cs="Times New Roman" w:eastAsia="Times New Roman" w:hAnsi="Times New Roman"/>
          <w:sz w:val="20"/>
          <w:szCs w:val="20"/>
          <w:color w:val="auto"/>
        </w:rPr>
      </w:pPr>
    </w:p>
    <w:p>
      <w:pPr>
        <w:jc w:val="both"/>
        <w:spacing w:after="0" w:line="261" w:lineRule="auto"/>
        <w:tabs>
          <w:tab w:leader="none" w:pos="713"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230" w:lineRule="exact"/>
        <w:rPr>
          <w:rFonts w:ascii="Times New Roman" w:cs="Times New Roman" w:eastAsia="Times New Roman" w:hAnsi="Times New Roman"/>
          <w:sz w:val="20"/>
          <w:szCs w:val="20"/>
          <w:color w:val="auto"/>
        </w:rPr>
      </w:pPr>
    </w:p>
    <w:p>
      <w:pPr>
        <w:spacing w:after="0" w:line="282" w:lineRule="auto"/>
        <w:tabs>
          <w:tab w:leader="none" w:pos="713"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 any and all other acts which in the discretion of such attorney-in-fact are necessary or desirable for and on behalf of the undersigned in connection with the foregoing.</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undersigned acknowledges that:</w:t>
      </w:r>
    </w:p>
    <w:p>
      <w:pPr>
        <w:spacing w:after="0" w:line="280" w:lineRule="exact"/>
        <w:rPr>
          <w:sz w:val="20"/>
          <w:szCs w:val="20"/>
          <w:color w:val="auto"/>
        </w:rPr>
      </w:pPr>
    </w:p>
    <w:p>
      <w:pPr>
        <w:ind w:right="20"/>
        <w:spacing w:after="0" w:line="282" w:lineRule="auto"/>
        <w:tabs>
          <w:tab w:leader="none" w:pos="713"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authorizes, but does not require, such attorney-in-fact to act in their discretion on information provided to such attorney-in-fact without independent verification of such information;</w:t>
      </w:r>
    </w:p>
    <w:p>
      <w:pPr>
        <w:spacing w:after="0" w:line="224" w:lineRule="exact"/>
        <w:rPr>
          <w:rFonts w:ascii="Times New Roman" w:cs="Times New Roman" w:eastAsia="Times New Roman" w:hAnsi="Times New Roman"/>
          <w:sz w:val="20"/>
          <w:szCs w:val="20"/>
          <w:color w:val="auto"/>
        </w:rPr>
      </w:pPr>
    </w:p>
    <w:p>
      <w:pPr>
        <w:jc w:val="both"/>
        <w:spacing w:after="0" w:line="266" w:lineRule="auto"/>
        <w:tabs>
          <w:tab w:leader="none" w:pos="713"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documents prepared and/or executed by such attorney-in-fact on behalf of the undersigned pursuant to this Power of Attorney will be in such form and will contain such information and disclosure as such attorney-in-fact, in his or her discretion, deems necessary or desirable;</w:t>
      </w:r>
    </w:p>
    <w:p>
      <w:pPr>
        <w:spacing w:after="0" w:line="225" w:lineRule="exact"/>
        <w:rPr>
          <w:rFonts w:ascii="Times New Roman" w:cs="Times New Roman" w:eastAsia="Times New Roman" w:hAnsi="Times New Roman"/>
          <w:sz w:val="20"/>
          <w:szCs w:val="20"/>
          <w:color w:val="auto"/>
        </w:rPr>
      </w:pPr>
    </w:p>
    <w:p>
      <w:pPr>
        <w:jc w:val="both"/>
        <w:spacing w:after="0" w:line="266" w:lineRule="auto"/>
        <w:tabs>
          <w:tab w:leader="none" w:pos="713"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such attorney-in-fact assumes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 and</w:t>
      </w:r>
    </w:p>
    <w:p>
      <w:pPr>
        <w:sectPr>
          <w:pgSz w:w="11900" w:h="16838" w:orient="portrait"/>
          <w:cols w:equalWidth="0" w:num="1">
            <w:col w:w="10940"/>
          </w:cols>
          <w:pgMar w:left="480" w:top="1440" w:right="479" w:bottom="1440" w:gutter="0" w:footer="0" w:header="0"/>
        </w:sectPr>
      </w:pPr>
    </w:p>
    <w:bookmarkStart w:id="2" w:name="page3"/>
    <w:bookmarkEnd w:id="2"/>
    <w:p>
      <w:pPr>
        <w:spacing w:after="0" w:line="391" w:lineRule="exact"/>
        <w:rPr>
          <w:sz w:val="20"/>
          <w:szCs w:val="20"/>
          <w:color w:val="auto"/>
        </w:rPr>
      </w:pPr>
    </w:p>
    <w:p>
      <w:pPr>
        <w:spacing w:after="0" w:line="282" w:lineRule="auto"/>
        <w:tabs>
          <w:tab w:leader="none" w:pos="713"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does not relieve the undersigned from responsibility for compliance with the undersigned’s obligations under the Exchange Act, including without limitation the reporting requirements under Section 16 of the Exchange Act.</w:t>
      </w:r>
    </w:p>
    <w:p>
      <w:pPr>
        <w:spacing w:after="0" w:line="21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The undersigned hereby gives and grants the foregoing attorney-in-fact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such attorney-in-fact of, for and on behalf of the undersigned, shall lawfully do or cause to be done by virtue of this Limited Power of Attorney.</w:t>
      </w:r>
    </w:p>
    <w:p>
      <w:pPr>
        <w:spacing w:after="0" w:line="23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supersedes and revokes any and all previous powers of attorney executed with regards to the same subject matter as agreed to herein. This Power of Attorney shall remain in full force and effect until revoked by the undersigned in a signed writing delivered to such attorney-in-fact.</w:t>
      </w:r>
    </w:p>
    <w:p>
      <w:pPr>
        <w:spacing w:after="0" w:line="22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October 28, 2026.</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0"/>
          <w:szCs w:val="20"/>
          <w:color w:val="auto"/>
        </w:rPr>
        <w:t>/s/ Kermit Nolan</w:t>
      </w:r>
    </w:p>
    <w:p>
      <w:pPr>
        <w:ind w:left="3820"/>
        <w:spacing w:after="0"/>
        <w:rPr>
          <w:sz w:val="20"/>
          <w:szCs w:val="20"/>
          <w:color w:val="auto"/>
        </w:rPr>
      </w:pPr>
      <w:r>
        <w:rPr>
          <w:rFonts w:ascii="Times New Roman" w:cs="Times New Roman" w:eastAsia="Times New Roman" w:hAnsi="Times New Roman"/>
          <w:sz w:val="20"/>
          <w:szCs w:val="20"/>
          <w:color w:val="auto"/>
        </w:rPr>
        <w:t>______________________________</w:t>
      </w:r>
    </w:p>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Kermit Nolan</w:t>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767271" TargetMode="External"/><Relationship Id="rId11" Type="http://schemas.openxmlformats.org/officeDocument/2006/relationships/hyperlink" Target="http://www.sec.gov/cgi-bin/browse-edgar?action=getcompany&amp;CIK=00008177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2026-11-02T17:03:39Z</dcterms:created>
  <dcterms:modified xsi:type="dcterms:W3CDTF">2026-11-02T17:03:39Z</dcterms:modified>
</cp:coreProperties>
</file>