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16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October 13, 2026</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w:t>
      </w:r>
    </w:p>
    <w:p>
      <w:pPr>
        <w:pStyle w:val="TextBody"/>
        <w:bidi w:val="0"/>
        <w:spacing w:lineRule="auto" w:line="288" w:before="240" w:after="283"/>
        <w:jc w:val="center"/>
        <w:rPr>
          <w:rFonts w:ascii="Times New Roman;serif" w:hAnsi="Times New Roman;serif"/>
          <w:b/>
          <w:color w:val="000000"/>
          <w:sz w:val="48"/>
        </w:rPr>
      </w:pPr>
      <w:r>
        <w:rPr>
          <w:rFonts w:ascii="Times New Roman;serif" w:hAnsi="Times New Roman;serif"/>
          <w:b/>
          <w:color w:val="000000"/>
          <w:sz w:val="48"/>
        </w:rPr>
        <w:t>SYNAPTICS INCORPORATED</w:t>
      </w:r>
    </w:p>
    <w:p>
      <w:pPr>
        <w:pStyle w:val="TextBody"/>
        <w:bidi w:val="0"/>
        <w:spacing w:lineRule="auto" w:line="288" w:before="40" w:after="283"/>
        <w:jc w:val="center"/>
        <w:rPr>
          <w:rFonts w:ascii="Times New Roman;serif" w:hAnsi="Times New Roman;serif"/>
          <w:b/>
          <w:color w:val="000000"/>
          <w:sz w:val="15"/>
        </w:rPr>
      </w:pPr>
      <w:r>
        <w:rPr>
          <w:rFonts w:ascii="Times New Roman;serif" w:hAnsi="Times New Roman;serif"/>
          <w:b/>
          <w:color w:val="000000"/>
          <w:sz w:val="15"/>
        </w:rPr>
        <w:t>(Exact name of Registrant as Specified in Its Charter)</w:t>
      </w:r>
    </w:p>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w:t>
      </w:r>
    </w:p>
    <w:tbl>
      <w:tblPr>
        <w:tblW w:w="5865" w:type="dxa"/>
        <w:jc w:val="left"/>
        <w:tblInd w:w="0" w:type="dxa"/>
        <w:tblLayout w:type="fixed"/>
        <w:tblCellMar>
          <w:top w:w="28" w:type="dxa"/>
          <w:left w:w="28" w:type="dxa"/>
          <w:bottom w:w="28" w:type="dxa"/>
          <w:right w:w="28" w:type="dxa"/>
        </w:tblCellMar>
      </w:tblPr>
      <w:tblGrid>
        <w:gridCol w:w="970"/>
        <w:gridCol w:w="852"/>
        <w:gridCol w:w="863"/>
        <w:gridCol w:w="614"/>
        <w:gridCol w:w="614"/>
        <w:gridCol w:w="617"/>
        <w:gridCol w:w="390"/>
        <w:gridCol w:w="390"/>
        <w:gridCol w:w="555"/>
      </w:tblGrid>
      <w:tr>
        <w:trPr/>
        <w:tc>
          <w:tcPr>
            <w:tcW w:w="97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84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000-49602</w:t>
            </w:r>
          </w:p>
        </w:tc>
        <w:tc>
          <w:tcPr>
            <w:tcW w:w="13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77-0118518</w:t>
            </w:r>
          </w:p>
        </w:tc>
      </w:tr>
      <w:tr>
        <w:trPr/>
        <w:tc>
          <w:tcPr>
            <w:tcW w:w="2685" w:type="dxa"/>
            <w:gridSpan w:val="3"/>
            <w:tcBorders/>
            <w:tcMar>
              <w:top w:w="0" w:type="dxa"/>
              <w:left w:w="0" w:type="dxa"/>
              <w:bottom w:w="0" w:type="dxa"/>
              <w:right w:w="0" w:type="dxa"/>
            </w:tcMar>
            <w:vAlign w:val="center"/>
          </w:tcPr>
          <w:p>
            <w:pPr>
              <w:pStyle w:val="TableContents"/>
              <w:bidi w:val="0"/>
              <w:spacing w:lineRule="auto" w:line="276" w:before="14" w:after="283"/>
              <w:jc w:val="center"/>
              <w:rPr>
                <w:rFonts w:ascii="Times New Roman;serif" w:hAnsi="Times New Roman;serif"/>
                <w:b/>
                <w:color w:val="000000"/>
                <w:sz w:val="15"/>
              </w:rPr>
            </w:pPr>
            <w:r>
              <w:rPr>
                <w:rFonts w:ascii="Times New Roman;serif" w:hAnsi="Times New Roman;serif"/>
                <w:b/>
                <w:color w:val="000000"/>
                <w:sz w:val="15"/>
              </w:rPr>
              <w:t>(State or Other Jurisdiction</w:t>
            </w:r>
          </w:p>
          <w:p>
            <w:pPr>
              <w:pStyle w:val="TableContents"/>
              <w:bidi w:val="0"/>
              <w:spacing w:lineRule="auto" w:line="276" w:before="14" w:after="283"/>
              <w:jc w:val="center"/>
              <w:rPr>
                <w:rFonts w:ascii="Times New Roman;serif" w:hAnsi="Times New Roman;serif"/>
                <w:b/>
                <w:color w:val="000000"/>
                <w:sz w:val="15"/>
              </w:rPr>
            </w:pPr>
            <w:r>
              <w:rPr>
                <w:rFonts w:ascii="Times New Roman;serif" w:hAnsi="Times New Roman;serif"/>
                <w:b/>
                <w:color w:val="000000"/>
                <w:sz w:val="15"/>
              </w:rPr>
              <w:t>of Incorporation)</w:t>
            </w:r>
          </w:p>
        </w:tc>
        <w:tc>
          <w:tcPr>
            <w:tcW w:w="184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5"/>
              </w:rPr>
            </w:pPr>
            <w:r>
              <w:rPr>
                <w:rFonts w:ascii="Times New Roman;serif" w:hAnsi="Times New Roman;serif"/>
                <w:b/>
                <w:color w:val="000000"/>
                <w:sz w:val="15"/>
              </w:rPr>
              <w:t>(Commission File Number)</w:t>
            </w:r>
          </w:p>
        </w:tc>
        <w:tc>
          <w:tcPr>
            <w:tcW w:w="1335" w:type="dxa"/>
            <w:gridSpan w:val="3"/>
            <w:tcBorders/>
            <w:tcMar>
              <w:top w:w="0" w:type="dxa"/>
              <w:left w:w="0" w:type="dxa"/>
              <w:bottom w:w="0" w:type="dxa"/>
              <w:right w:w="0" w:type="dxa"/>
            </w:tcMar>
            <w:vAlign w:val="center"/>
          </w:tcPr>
          <w:p>
            <w:pPr>
              <w:pStyle w:val="TableContents"/>
              <w:bidi w:val="0"/>
              <w:spacing w:lineRule="auto" w:line="276" w:before="14" w:after="283"/>
              <w:jc w:val="center"/>
              <w:rPr>
                <w:rFonts w:ascii="Times New Roman;serif" w:hAnsi="Times New Roman;serif"/>
                <w:b/>
                <w:color w:val="000000"/>
                <w:sz w:val="15"/>
              </w:rPr>
            </w:pPr>
            <w:r>
              <w:rPr>
                <w:rFonts w:ascii="Times New Roman;serif" w:hAnsi="Times New Roman;serif"/>
                <w:b/>
                <w:color w:val="000000"/>
                <w:sz w:val="15"/>
              </w:rPr>
              <w:t>(IRS Employer</w:t>
            </w:r>
          </w:p>
          <w:p>
            <w:pPr>
              <w:pStyle w:val="TableContents"/>
              <w:bidi w:val="0"/>
              <w:spacing w:lineRule="auto" w:line="276" w:before="14" w:after="283"/>
              <w:jc w:val="center"/>
              <w:rPr>
                <w:rFonts w:ascii="Times New Roman;serif" w:hAnsi="Times New Roman;serif"/>
                <w:b/>
                <w:color w:val="000000"/>
                <w:sz w:val="15"/>
              </w:rPr>
            </w:pPr>
            <w:r>
              <w:rPr>
                <w:rFonts w:ascii="Times New Roman;serif" w:hAnsi="Times New Roman;serif"/>
                <w:b/>
                <w:color w:val="000000"/>
                <w:sz w:val="15"/>
              </w:rPr>
              <w:t>Identification No.)</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1109 McKay Drive</w:t>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San Jose, California</w:t>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95131</w:t>
            </w:r>
          </w:p>
        </w:tc>
      </w:tr>
      <w:tr>
        <w:trPr/>
        <w:tc>
          <w:tcPr>
            <w:tcW w:w="268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5"/>
              </w:rPr>
            </w:pPr>
            <w:r>
              <w:rPr>
                <w:rFonts w:ascii="Times New Roman;serif" w:hAnsi="Times New Roman;serif"/>
                <w:b/>
                <w:color w:val="000000"/>
                <w:sz w:val="15"/>
              </w:rPr>
              <w:t>(Address of Principal Executive Offices)</w:t>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5"/>
              </w:rPr>
            </w:pPr>
            <w:r>
              <w:rPr>
                <w:rFonts w:ascii="Times New Roman;serif" w:hAnsi="Times New Roman;serif"/>
                <w:b/>
                <w:color w:val="000000"/>
                <w:sz w:val="15"/>
              </w:rPr>
              <w:t>(Zip Code)</w:t>
            </w:r>
          </w:p>
        </w:tc>
      </w:tr>
    </w:tbl>
    <w:p>
      <w:pPr>
        <w:pStyle w:val="TextBody"/>
        <w:bidi w:val="0"/>
        <w:spacing w:lineRule="auto" w:line="276" w:before="180" w:after="283"/>
        <w:jc w:val="center"/>
        <w:rPr/>
      </w:pPr>
      <w:r>
        <w:rPr>
          <w:rFonts w:ascii="Times New Roman;serif" w:hAnsi="Times New Roman;serif"/>
          <w:b/>
          <w:color w:val="000000"/>
          <w:sz w:val="20"/>
        </w:rPr>
        <w:t>Registrant’s Telephone Number, Including Area Code:</w:t>
      </w:r>
      <w:r>
        <w:rPr>
          <w:color w:val="000000"/>
        </w:rPr>
        <w:t xml:space="preserve"> </w:t>
      </w:r>
      <w:r>
        <w:rPr>
          <w:rFonts w:ascii="Times New Roman;serif" w:hAnsi="Times New Roman;serif"/>
          <w:b/>
          <w:color w:val="000000"/>
          <w:sz w:val="20"/>
        </w:rPr>
        <w:t>408</w:t>
      </w:r>
      <w:r>
        <w:rPr>
          <w:color w:val="000000"/>
        </w:rPr>
        <w:t xml:space="preserve"> </w:t>
      </w:r>
      <w:r>
        <w:rPr>
          <w:rFonts w:ascii="Times New Roman;serif" w:hAnsi="Times New Roman;serif"/>
          <w:b/>
          <w:color w:val="000000"/>
          <w:sz w:val="20"/>
        </w:rPr>
        <w:t>904-1100</w:t>
      </w:r>
    </w:p>
    <w:p>
      <w:pPr>
        <w:pStyle w:val="TextBody"/>
        <w:bidi w:val="0"/>
        <w:spacing w:lineRule="auto" w:line="276" w:before="18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9023" w:type="dxa"/>
        <w:jc w:val="left"/>
        <w:tblInd w:w="0" w:type="dxa"/>
        <w:tblLayout w:type="fixed"/>
        <w:tblCellMar>
          <w:top w:w="28" w:type="dxa"/>
          <w:left w:w="28" w:type="dxa"/>
          <w:bottom w:w="28" w:type="dxa"/>
          <w:right w:w="28" w:type="dxa"/>
        </w:tblCellMar>
      </w:tblPr>
      <w:tblGrid>
        <w:gridCol w:w="1301"/>
        <w:gridCol w:w="1143"/>
        <w:gridCol w:w="1156"/>
        <w:gridCol w:w="109"/>
        <w:gridCol w:w="109"/>
        <w:gridCol w:w="109"/>
        <w:gridCol w:w="314"/>
        <w:gridCol w:w="314"/>
        <w:gridCol w:w="316"/>
        <w:gridCol w:w="109"/>
        <w:gridCol w:w="109"/>
        <w:gridCol w:w="109"/>
        <w:gridCol w:w="1118"/>
        <w:gridCol w:w="1118"/>
        <w:gridCol w:w="1589"/>
      </w:tblGrid>
      <w:tr>
        <w:trPr/>
        <w:tc>
          <w:tcPr>
            <w:tcW w:w="13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76" w:before="14"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76" w:before="14" w:after="283"/>
              <w:jc w:val="center"/>
              <w:rPr>
                <w:rFonts w:ascii="Times New Roman;serif" w:hAnsi="Times New Roman;serif"/>
                <w:b/>
                <w:color w:val="000000"/>
                <w:sz w:val="20"/>
              </w:rPr>
            </w:pPr>
            <w:r>
              <w:rPr>
                <w:rFonts w:ascii="Times New Roman;serif" w:hAnsi="Times New Roman;serif"/>
                <w:b/>
                <w:color w:val="000000"/>
                <w:sz w:val="20"/>
              </w:rPr>
              <w:t>Trading</w:t>
            </w:r>
          </w:p>
          <w:p>
            <w:pPr>
              <w:pStyle w:val="TableContents"/>
              <w:bidi w:val="0"/>
              <w:spacing w:lineRule="auto" w:line="276" w:before="14" w:after="283"/>
              <w:jc w:val="center"/>
              <w:rPr>
                <w:rFonts w:ascii="Times New Roman;serif" w:hAnsi="Times New Roman;serif"/>
                <w:b/>
                <w:color w:val="000000"/>
                <w:sz w:val="20"/>
              </w:rPr>
            </w:pPr>
            <w:r>
              <w:rPr>
                <w:rFonts w:ascii="Times New Roman;serif" w:hAnsi="Times New Roman;serif"/>
                <w:b/>
                <w:color w:val="000000"/>
                <w:sz w:val="20"/>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76" w:before="14"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6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 per share</w:t>
            </w:r>
          </w:p>
        </w:tc>
        <w:tc>
          <w:tcPr>
            <w:tcW w:w="327"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SYNA</w:t>
            </w:r>
          </w:p>
        </w:tc>
        <w:tc>
          <w:tcPr>
            <w:tcW w:w="327"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lineRule="auto" w:line="288" w:before="200" w:after="283"/>
        <w:jc w:val="righ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o</w:t>
      </w:r>
    </w:p>
    <w:p>
      <w:pPr>
        <w:pStyle w:val="TextBody"/>
        <w:bidi w:val="0"/>
        <w:spacing w:lineRule="auto" w:line="288" w:before="20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13, 2026, Esther Song resigned from her positions as Vice President, Corporate Controller and Principal Accounting Officer of Synaptics Incorporated (the “Company”), effective October 28, 2026 (the “Effective Date”), to pursue other opportunities. Ms. Song will remain employed with the Company and continue to receive her current compensation and benefits until her employment terminates on the Effective Date. Ms. Song’s resignation was not due to any disagreement with the Company on any matter relating to the Company’s operations, accounting or other policies, or practices. </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13, 2026, the Company appointed Kermit Nolan, the Company’s Vice President, Finance, to serve as Principal Accounting Officer, effective as of the Effective Date. Mr. Nolan will not receive any additional compensation for this role. </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Mr. Nolan, 67, returned to the Company upon entering into a consulting agreement on June 10, 2026, to provide support to the Company’s internal finance organization. Following the departure of the Company’s Chief Financial Officer, Mr. Nolan became an employee of the Company on September 1, 2026 to provide additional support and leadership to the finance team.</w:t>
      </w:r>
      <w:r>
        <w:rPr>
          <w:color w:val="000000"/>
        </w:rPr>
        <w:t xml:space="preserve"> </w:t>
      </w:r>
      <w:r>
        <w:rPr>
          <w:rFonts w:ascii="Times New Roman;serif" w:hAnsi="Times New Roman;serif"/>
          <w:b w:val="false"/>
          <w:color w:val="000000"/>
          <w:sz w:val="20"/>
        </w:rPr>
        <w:t xml:space="preserve">He also served as a consultant to the Company’s internal team from February 2024 to September 2024 during the Chief Financial Officer transition at that time. Before retiring at the end of 2023, Mr. Nolan had served as the Company’s Corporate Vice President, Chief Accounting Officer since February 2019, and during his 20-year tenure at the Company, he held several other roles, including member of the Executive Leadership Committee during a Chief Executive Officer transition, interim Chief Financial Officer, Vice President and Corporate Controller and other accounting and tax roles.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7197" w:type="dxa"/>
        <w:jc w:val="left"/>
        <w:tblInd w:w="0" w:type="dxa"/>
        <w:tblLayout w:type="fixed"/>
        <w:tblCellMar>
          <w:top w:w="28" w:type="dxa"/>
          <w:left w:w="28" w:type="dxa"/>
          <w:bottom w:w="28" w:type="dxa"/>
          <w:right w:w="28" w:type="dxa"/>
        </w:tblCellMar>
      </w:tblPr>
      <w:tblGrid>
        <w:gridCol w:w="200"/>
        <w:gridCol w:w="177"/>
        <w:gridCol w:w="178"/>
        <w:gridCol w:w="504"/>
        <w:gridCol w:w="504"/>
        <w:gridCol w:w="506"/>
        <w:gridCol w:w="149"/>
        <w:gridCol w:w="149"/>
        <w:gridCol w:w="151"/>
        <w:gridCol w:w="1369"/>
        <w:gridCol w:w="1369"/>
        <w:gridCol w:w="194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SYNAPTICS INCORPORATED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15, 2026</w:t>
            </w:r>
          </w:p>
        </w:tc>
        <w:tc>
          <w:tcPr>
            <w:tcW w:w="4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By: </w:t>
            </w:r>
          </w:p>
        </w:tc>
        <w:tc>
          <w:tcPr>
            <w:tcW w:w="46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Lisa Bodensteiner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Lisa Bodensteiner</w:t>
              <w:br/>
              <w:t>Senior Vice President, Chief Legal Officer and Secretary</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637</Words>
  <Characters>3837</Characters>
  <CharactersWithSpaces>4420</CharactersWithSpaces>
  <Paragraphs>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