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32"/>
          <w:szCs w:val="32"/>
          <w:color w:val="auto"/>
        </w:rPr>
        <w:t>_______________________________________________________</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1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SYNAPTICS INCORPORATED</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86"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5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tc>
        <w:tc>
          <w:tcPr>
            <w:tcW w:w="1620" w:type="dxa"/>
            <w:vAlign w:val="bottom"/>
          </w:tcPr>
          <w:p>
            <w:pPr>
              <w:spacing w:after="0"/>
              <w:rPr>
                <w:sz w:val="20"/>
                <w:szCs w:val="20"/>
                <w:color w:val="auto"/>
              </w:rPr>
            </w:pPr>
          </w:p>
        </w:tc>
      </w:tr>
      <w:tr>
        <w:trPr>
          <w:trHeight w:val="459"/>
        </w:trPr>
        <w:tc>
          <w:tcPr>
            <w:tcW w:w="27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000-49602</w:t>
            </w:r>
          </w:p>
        </w:tc>
        <w:tc>
          <w:tcPr>
            <w:tcW w:w="16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77-0118518</w:t>
            </w:r>
          </w:p>
        </w:tc>
      </w:tr>
      <w:tr>
        <w:trPr>
          <w:trHeight w:val="261"/>
        </w:trPr>
        <w:tc>
          <w:tcPr>
            <w:tcW w:w="27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7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340" w:type="dxa"/>
            <w:vAlign w:val="bottom"/>
          </w:tcPr>
          <w:p>
            <w:pPr>
              <w:spacing w:after="0"/>
              <w:rPr>
                <w:sz w:val="20"/>
                <w:szCs w:val="20"/>
                <w:color w:val="auto"/>
              </w:rPr>
            </w:pP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51"/>
        </w:trPr>
        <w:tc>
          <w:tcPr>
            <w:tcW w:w="27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1109 McKay Drive</w:t>
            </w:r>
          </w:p>
        </w:tc>
        <w:tc>
          <w:tcPr>
            <w:tcW w:w="5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2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5340" w:type="dxa"/>
            <w:vAlign w:val="bottom"/>
          </w:tcPr>
          <w:p>
            <w:pPr>
              <w:spacing w:after="0"/>
              <w:rPr>
                <w:sz w:val="23"/>
                <w:szCs w:val="23"/>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270"/>
        </w:trPr>
        <w:tc>
          <w:tcPr>
            <w:tcW w:w="8040" w:type="dxa"/>
            <w:vAlign w:val="bottom"/>
            <w:gridSpan w:val="2"/>
          </w:tcPr>
          <w:p>
            <w:pPr>
              <w:jc w:val="center"/>
              <w:ind w:right="48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408) 904-1100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5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43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Times New Roman" w:cs="Times New Roman" w:eastAsia="Times New Roman" w:hAnsi="Times New Roman"/>
          <w:sz w:val="18"/>
          <w:szCs w:val="18"/>
          <w:color w:val="auto"/>
        </w:rPr>
      </w:pPr>
    </w:p>
    <w:p>
      <w:pPr>
        <w:ind w:left="760" w:hanging="43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Times New Roman" w:cs="Times New Roman" w:eastAsia="Times New Roman" w:hAnsi="Times New Roman"/>
          <w:sz w:val="18"/>
          <w:szCs w:val="18"/>
          <w:color w:val="auto"/>
        </w:rPr>
      </w:pPr>
    </w:p>
    <w:p>
      <w:pPr>
        <w:ind w:left="760" w:hanging="43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Times New Roman" w:cs="Times New Roman" w:eastAsia="Times New Roman" w:hAnsi="Times New Roman"/>
          <w:sz w:val="18"/>
          <w:szCs w:val="18"/>
          <w:color w:val="auto"/>
        </w:rPr>
      </w:pPr>
    </w:p>
    <w:p>
      <w:pPr>
        <w:ind w:left="760" w:hanging="432"/>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18"/>
                <w:szCs w:val="18"/>
                <w:color w:val="auto"/>
              </w:rPr>
            </w:pPr>
          </w:p>
        </w:tc>
      </w:tr>
      <w:tr>
        <w:trPr>
          <w:trHeight w:val="259"/>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SYNA</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6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15" w:right="359" w:bottom="883"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Item 5.07 below, Synaptics Incorporated (the “Company,” “we” or “us”) held its 2026 Annual Meeting of Stockholders (the “Annual Meeting”) on October 27, 2026. At the Annual Meeting, our stockholders approved an amendment and restatement of our Amended and Restated 2019 Equity and Incentive Compensation Plan that provides for an increase of 1,000,000 shares of our common stock authorized for issuance thereunder (as amended and restated, the “2019 Plan”). Our named executive officers are eligible to participate in the 2019 Plan. Our Board of Directors approved the 2019 Plan on July 28, 2026, subject to stockholder approval at the Annual Meeting. A summary of the material terms of the 2019 Plan is set forth under the caption “Proposal Three: Approval of the Amended and Restated 2019 Equity and Incentive Compensation Plan” in the Company’s Definitive Proxy Statement on Schedule 14A filed with the Securities and Exchange Commission (the “Commission”) on September 15, 2026. That summary and the above description of the 2019 Plan do not purport to be complete and are qualified in their entirety by reference to the 2019 Plan, which is filed as Exhibit 10.1 to this Current Report on Form 8-K and is incorporated herein by reference.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27, 2026, we held our Annual Meeting. As of the close of business on the record date of August 28, 2026, there were 39,692,413 shares of our common stock outstanding and entitled to vote at the Annual Meeting. The number of shares of common stock present at the beginning of the Annual Meeting, in person or by proxy, was 36,136,854 or 91.04% of the shares outstanding and entitled to vote at the Annual Meeting. At the Annual Meeting, the following proposals were submitted to a vote of our stockholders, with the final voting results indicated below:</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One: Election of Directors</w:t>
      </w:r>
      <w:r>
        <w:rPr>
          <w:rFonts w:ascii="Times New Roman" w:cs="Times New Roman" w:eastAsia="Times New Roman" w:hAnsi="Times New Roman"/>
          <w:sz w:val="18"/>
          <w:szCs w:val="18"/>
          <w:color w:val="auto"/>
        </w:rPr>
        <w:t>. Our stockholders elected the following eight directors, each to serve until our Annual Meeting of Stockholders in 2027 or until their successors have been elected and qualified.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2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020" w:type="dxa"/>
            <w:vAlign w:val="bottom"/>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440" w:type="dxa"/>
            <w:vAlign w:val="bottom"/>
          </w:tcPr>
          <w:p>
            <w:pPr>
              <w:jc w:val="center"/>
              <w:ind w:left="91"/>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4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Nelson C. Chan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30,089,297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409,392</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28,571</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B. Geeslin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30,208,993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289,740</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28,527</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J. Hardman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30,209,596</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284,404</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33,260</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Patricia Kummrow</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28,113,898</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2,379,365</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33,997</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Vivie Lee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30,199,665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298,172</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29,423</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Venkatesh Nathamuni</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30,428,903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65,103</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33,254</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Rahul Patel</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30,341,244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157,819</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28,197</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r>
        <w:trPr>
          <w:trHeight w:val="270"/>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Whims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30,135,081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360,027</w:t>
            </w:r>
          </w:p>
        </w:tc>
        <w:tc>
          <w:tcPr>
            <w:tcW w:w="20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6"/>
              </w:rPr>
              <w:t>32,152</w:t>
            </w:r>
          </w:p>
        </w:tc>
        <w:tc>
          <w:tcPr>
            <w:tcW w:w="244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5,609,594</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Two: Ratification of the Appointment of the Independent Auditor</w:t>
      </w:r>
      <w:r>
        <w:rPr>
          <w:rFonts w:ascii="Times New Roman" w:cs="Times New Roman" w:eastAsia="Times New Roman" w:hAnsi="Times New Roman"/>
          <w:sz w:val="18"/>
          <w:szCs w:val="18"/>
          <w:color w:val="auto"/>
        </w:rPr>
        <w:t>. Our stockholders ratified the appointment of KPMG LLP, an independent registered public accounting firm, as the independent auditor of our Company for the fiscal year ending June 27,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262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98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46"/>
        </w:trPr>
        <w:tc>
          <w:tcPr>
            <w:tcW w:w="28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35,640,914</w:t>
            </w:r>
          </w:p>
        </w:tc>
        <w:tc>
          <w:tcPr>
            <w:tcW w:w="276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428,874</w:t>
            </w:r>
          </w:p>
        </w:tc>
        <w:tc>
          <w:tcPr>
            <w:tcW w:w="262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67,066</w:t>
            </w:r>
          </w:p>
        </w:tc>
        <w:tc>
          <w:tcPr>
            <w:tcW w:w="298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Three: Approval of the Amended and Restated 2019 Equity and Incentive Compensation Plan</w:t>
      </w:r>
      <w:r>
        <w:rPr>
          <w:rFonts w:ascii="Times New Roman" w:cs="Times New Roman" w:eastAsia="Times New Roman" w:hAnsi="Times New Roman"/>
          <w:sz w:val="18"/>
          <w:szCs w:val="18"/>
          <w:color w:val="auto"/>
        </w:rPr>
        <w:t>. Our stockholders voted to approve the 2019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2600" w:type="dxa"/>
            <w:vAlign w:val="bottom"/>
          </w:tcPr>
          <w:p>
            <w:pPr>
              <w:jc w:val="center"/>
              <w:ind w:left="55"/>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98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46"/>
        </w:trPr>
        <w:tc>
          <w:tcPr>
            <w:tcW w:w="28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21,519,926</w:t>
            </w:r>
          </w:p>
        </w:tc>
        <w:tc>
          <w:tcPr>
            <w:tcW w:w="282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8,966,641</w:t>
            </w:r>
          </w:p>
        </w:tc>
        <w:tc>
          <w:tcPr>
            <w:tcW w:w="260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40,693</w:t>
            </w:r>
          </w:p>
        </w:tc>
        <w:tc>
          <w:tcPr>
            <w:tcW w:w="298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5,609,594</w:t>
            </w:r>
          </w:p>
        </w:tc>
      </w:tr>
    </w:tbl>
    <w:p>
      <w:pPr>
        <w:spacing w:after="0" w:line="200" w:lineRule="exact"/>
        <w:rPr>
          <w:sz w:val="20"/>
          <w:szCs w:val="20"/>
          <w:color w:val="auto"/>
        </w:rPr>
      </w:pPr>
    </w:p>
    <w:p>
      <w:pPr>
        <w:spacing w:after="0" w:line="3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Four: Advisory Approval of the Compensation of Our Named Executive Officers</w:t>
      </w:r>
      <w:r>
        <w:rPr>
          <w:rFonts w:ascii="Times New Roman" w:cs="Times New Roman" w:eastAsia="Times New Roman" w:hAnsi="Times New Roman"/>
          <w:sz w:val="18"/>
          <w:szCs w:val="18"/>
          <w:color w:val="auto"/>
        </w:rPr>
        <w:t>. Our stockholders adopted a non-binding, advisory resolution approving the compensation of our named executive officers for fiscal year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jc w:val="center"/>
              <w:ind w:right="773"/>
              <w:spacing w:after="0"/>
              <w:rPr>
                <w:sz w:val="20"/>
                <w:szCs w:val="20"/>
                <w:color w:val="auto"/>
              </w:rPr>
            </w:pPr>
            <w:r>
              <w:rPr>
                <w:rFonts w:ascii="Times New Roman" w:cs="Times New Roman" w:eastAsia="Times New Roman" w:hAnsi="Times New Roman"/>
                <w:sz w:val="16"/>
                <w:szCs w:val="16"/>
                <w:b w:val="1"/>
                <w:bCs w:val="1"/>
                <w:color w:val="auto"/>
              </w:rPr>
              <w:t>For</w:t>
            </w:r>
          </w:p>
        </w:tc>
        <w:tc>
          <w:tcPr>
            <w:tcW w:w="1960" w:type="dxa"/>
            <w:vAlign w:val="bottom"/>
          </w:tcPr>
          <w:p>
            <w:pPr>
              <w:jc w:val="center"/>
              <w:ind w:right="795"/>
              <w:spacing w:after="0"/>
              <w:rPr>
                <w:sz w:val="20"/>
                <w:szCs w:val="20"/>
                <w:color w:val="auto"/>
              </w:rPr>
            </w:pPr>
            <w:r>
              <w:rPr>
                <w:rFonts w:ascii="Times New Roman" w:cs="Times New Roman" w:eastAsia="Times New Roman" w:hAnsi="Times New Roman"/>
                <w:sz w:val="16"/>
                <w:szCs w:val="16"/>
                <w:b w:val="1"/>
                <w:bCs w:val="1"/>
                <w:color w:val="auto"/>
                <w:w w:val="99"/>
              </w:rPr>
              <w:t>Against</w:t>
            </w:r>
          </w:p>
        </w:tc>
        <w:tc>
          <w:tcPr>
            <w:tcW w:w="2620" w:type="dxa"/>
            <w:vAlign w:val="bottom"/>
          </w:tcPr>
          <w:p>
            <w:pPr>
              <w:jc w:val="center"/>
              <w:ind w:left="75"/>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98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246"/>
        </w:trPr>
        <w:tc>
          <w:tcPr>
            <w:tcW w:w="3680" w:type="dxa"/>
            <w:vAlign w:val="bottom"/>
            <w:shd w:val="clear" w:color="auto" w:fill="CCEEFF"/>
          </w:tcPr>
          <w:p>
            <w:pPr>
              <w:jc w:val="right"/>
              <w:ind w:right="1773"/>
              <w:spacing w:after="0"/>
              <w:rPr>
                <w:sz w:val="20"/>
                <w:szCs w:val="20"/>
                <w:color w:val="auto"/>
              </w:rPr>
            </w:pPr>
            <w:r>
              <w:rPr>
                <w:rFonts w:ascii="Times New Roman" w:cs="Times New Roman" w:eastAsia="Times New Roman" w:hAnsi="Times New Roman"/>
                <w:sz w:val="18"/>
                <w:szCs w:val="18"/>
                <w:color w:val="auto"/>
              </w:rPr>
              <w:t>29,665,399</w:t>
            </w:r>
          </w:p>
        </w:tc>
        <w:tc>
          <w:tcPr>
            <w:tcW w:w="196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804,283</w:t>
            </w:r>
          </w:p>
        </w:tc>
        <w:tc>
          <w:tcPr>
            <w:tcW w:w="262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57,578</w:t>
            </w:r>
          </w:p>
        </w:tc>
        <w:tc>
          <w:tcPr>
            <w:tcW w:w="298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rPr>
              <w:t>5,609,594</w:t>
            </w:r>
          </w:p>
        </w:tc>
      </w:tr>
      <w:tr>
        <w:trPr>
          <w:trHeight w:val="41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820" w:type="dxa"/>
            <w:vAlign w:val="bottom"/>
          </w:tcPr>
          <w:p>
            <w:pPr>
              <w:spacing w:after="0"/>
              <w:rPr>
                <w:sz w:val="17"/>
                <w:szCs w:val="17"/>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2"/>
                <w:szCs w:val="22"/>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Synaptics Incorporated Amended and Restated 2019 Equity and Incentive Compensation Plan, effective October 27, 2026</w:t>
            </w:r>
          </w:p>
        </w:tc>
      </w:tr>
      <w:tr>
        <w:trPr>
          <w:trHeight w:val="39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87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40" w:type="dxa"/>
            <w:vAlign w:val="bottom"/>
          </w:tcPr>
          <w:p>
            <w:pPr>
              <w:spacing w:after="0"/>
              <w:rPr>
                <w:sz w:val="24"/>
                <w:szCs w:val="24"/>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700" w:val="left"/>
          <w:tab w:leader="none" w:pos="616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Bodensteiner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Lisa Bodensteiner</w:t>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SVP, Chief Legal Officer and Corporate Secretary</w:t>
      </w:r>
    </w:p>
    <w:p>
      <w:pPr>
        <w:sectPr>
          <w:pgSz w:w="11900" w:h="16838" w:orient="portrait"/>
          <w:cols w:equalWidth="0" w:num="1">
            <w:col w:w="11200"/>
          </w:cols>
          <w:pgMar w:left="320" w:top="103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2019 EQUITY AND INCENTIVE COMPENSATION PLAN</w:t>
      </w:r>
    </w:p>
    <w:p>
      <w:pPr>
        <w:spacing w:after="0" w:line="185" w:lineRule="exact"/>
        <w:rPr>
          <w:sz w:val="20"/>
          <w:szCs w:val="20"/>
          <w:color w:val="auto"/>
        </w:rPr>
      </w:pPr>
    </w:p>
    <w:p>
      <w:pPr>
        <w:ind w:left="340" w:right="20" w:hanging="332"/>
        <w:spacing w:after="0" w:line="38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Plan is to attract and retain non-employee Directors, officers and other employees of the Company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consultants to the Company and its Subsidiaries, and to provide to such persons incentives and rewards for service and/or performance.</w:t>
      </w:r>
    </w:p>
    <w:p>
      <w:pPr>
        <w:spacing w:after="0" w:line="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this Plan:</w:t>
      </w:r>
    </w:p>
    <w:p>
      <w:pPr>
        <w:spacing w:after="0" w:line="20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 means a right granted pursuant to Section 5 of this Plan.</w:t>
      </w:r>
    </w:p>
    <w:p>
      <w:pPr>
        <w:spacing w:after="0" w:line="19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Price” means the price to be used as the basis for determining the Spread upon the exercise of an Appreciation Right.</w:t>
      </w:r>
    </w:p>
    <w:p>
      <w:pPr>
        <w:spacing w:after="0" w:line="184"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9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 means a cash award granted pursuant to Section 8 of this Plan.</w:t>
      </w:r>
    </w:p>
    <w:p>
      <w:pPr>
        <w:spacing w:after="0" w:line="184" w:lineRule="exact"/>
        <w:rPr>
          <w:rFonts w:ascii="Times New Roman" w:cs="Times New Roman" w:eastAsia="Times New Roman" w:hAnsi="Times New Roman"/>
          <w:sz w:val="18"/>
          <w:szCs w:val="18"/>
          <w:color w:val="auto"/>
        </w:rPr>
      </w:pPr>
    </w:p>
    <w:p>
      <w:pPr>
        <w:jc w:val="both"/>
        <w:ind w:left="820" w:hanging="488"/>
        <w:spacing w:after="0" w:line="341" w:lineRule="auto"/>
        <w:tabs>
          <w:tab w:leader="none" w:pos="81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with respect to any Participant, have the equivalent meaning (or the same meaning as “cause” or “for cause”) set forth in any employment, consulting, change in control or other agreement for the performance of services between the Participant and the Company or a Subsidiary or, in the absence of any such agreement or any such definition in such agreement, such term shall mean (i) the Participant’s willful, material, and irreparable breach of any employment, consulting, change in control or other agreement between the Participant and the Company or a Subsidiary, (ii) the Participant’s gross negligence in the performance or intentional nonperformance (continuing for thirty (30) days after receipt of written notice of need to cure) of any of the Participant’s material duties and responsibilities to the Company, (iii) the Participant’s willful dishonesty, fraud, or misconduct with respect to the business or affairs of the Company, which materially and adversely affects the operations or reputation of the Company, (iv) the Participant’s indictment for, conviction of, or guilty plea to a felony crime involving dishonesty or moral turpitude whether or not relating to the Company, or (v) a confirmed positive illegal drug test. The good faith determination by the Committee of whether the Participant’s employment or service was terminated by the Company (or a Subsidiary) for “Cause” shall be final and binding for all purposes hereunder.</w:t>
      </w:r>
    </w:p>
    <w:p>
      <w:pPr>
        <w:spacing w:after="0" w:line="86"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set forth in Section 12 of this Plan.</w:t>
      </w:r>
    </w:p>
    <w:p>
      <w:pPr>
        <w:spacing w:after="0" w:line="184" w:lineRule="exact"/>
        <w:rPr>
          <w:rFonts w:ascii="Times New Roman" w:cs="Times New Roman" w:eastAsia="Times New Roman" w:hAnsi="Times New Roman"/>
          <w:sz w:val="18"/>
          <w:szCs w:val="18"/>
          <w:color w:val="auto"/>
        </w:rPr>
      </w:pPr>
    </w:p>
    <w:p>
      <w:pPr>
        <w:ind w:left="820" w:hanging="488"/>
        <w:spacing w:after="0" w:line="376" w:lineRule="auto"/>
        <w:tabs>
          <w:tab w:leader="none" w:pos="81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Any reference to a specific provision of the Code includes any successor provision and the regulations promulgated under such provision.</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 (or its successor(s)), or any other committee of the Board designated by the Board to administer this Plan pursuant to Section 10 of this Plan, and to the extent of any delegation by the Committee to a subcommittee pursuant to Section 10 of this Plan, such subcommittee.</w:t>
      </w:r>
    </w:p>
    <w:p>
      <w:pPr>
        <w:spacing w:after="0" w:line="61" w:lineRule="exact"/>
        <w:rPr>
          <w:rFonts w:ascii="Times New Roman" w:cs="Times New Roman" w:eastAsia="Times New Roman" w:hAnsi="Times New Roman"/>
          <w:sz w:val="18"/>
          <w:szCs w:val="18"/>
          <w:color w:val="auto"/>
        </w:rPr>
      </w:pPr>
    </w:p>
    <w:p>
      <w:pPr>
        <w:ind w:left="820" w:hanging="488"/>
        <w:spacing w:after="0" w:line="376" w:lineRule="auto"/>
        <w:tabs>
          <w:tab w:leader="none" w:pos="81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par value $0.001 per share, of the Company or any security into which such common stock may be changed by reason of any transaction or event of the type referred to in Section 11 of this Plan.</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Synaptics Incorporated, a Delaware corporation, and its successors.</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88" w:hanging="488"/>
        <w:spacing w:after="0" w:line="349" w:lineRule="auto"/>
        <w:tabs>
          <w:tab w:leader="none" w:pos="4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means the date provided for by the Committee on which a grant of Option Rights, Appreciation Rights, Performance Shares, Performance Units, Cash Incentive Awards, or other awards contemplated by Section 9 of this Plan, or a grant or sale of Restricted Stock, Restricted Stock Units, or other awards contemplated by Section 9 of this Plan, will become effective (which date will not be earlier than the date on which the Committee takes action with respect thereto).</w:t>
      </w:r>
    </w:p>
    <w:p>
      <w:pPr>
        <w:spacing w:after="0" w:line="65"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w:t>
      </w:r>
    </w:p>
    <w:p>
      <w:pPr>
        <w:spacing w:after="0" w:line="198" w:lineRule="exact"/>
        <w:rPr>
          <w:rFonts w:ascii="Times New Roman" w:cs="Times New Roman" w:eastAsia="Times New Roman" w:hAnsi="Times New Roman"/>
          <w:sz w:val="18"/>
          <w:szCs w:val="18"/>
          <w:color w:val="auto"/>
        </w:rPr>
      </w:pPr>
    </w:p>
    <w:p>
      <w:pPr>
        <w:jc w:val="both"/>
        <w:ind w:left="488" w:hanging="488"/>
        <w:spacing w:after="0" w:line="342" w:lineRule="auto"/>
        <w:tabs>
          <w:tab w:leader="none" w:pos="4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unless otherwise defined in the applicable Evidence of Award, (i) the Participant is unable to engage in any substantial gainful activity by reason of any medically determinable physical or mental impairment that can be expected to result in death or can be expected to last for a continuous period of not less than 12 months, or (ii)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if applicable, any Subsidiary; provided, however, that to the extent any Option Right granted hereunder is intended to qualify as an Incentive Stock Option, “Disability” for purposes of such Option Right shall mean a “permanent and total disability” as defined in Section 22(e)(3) of the Code.</w:t>
      </w:r>
    </w:p>
    <w:p>
      <w:pPr>
        <w:spacing w:after="0" w:line="83"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October 29, 2019, the date this Plan was initially approved by the Stockholders.</w:t>
      </w:r>
    </w:p>
    <w:p>
      <w:pPr>
        <w:spacing w:after="0" w:line="184" w:lineRule="exact"/>
        <w:rPr>
          <w:rFonts w:ascii="Times New Roman" w:cs="Times New Roman" w:eastAsia="Times New Roman" w:hAnsi="Times New Roman"/>
          <w:sz w:val="18"/>
          <w:szCs w:val="18"/>
          <w:color w:val="auto"/>
        </w:rPr>
      </w:pPr>
    </w:p>
    <w:p>
      <w:pPr>
        <w:jc w:val="both"/>
        <w:ind w:left="488" w:hanging="488"/>
        <w:spacing w:after="0" w:line="349" w:lineRule="auto"/>
        <w:tabs>
          <w:tab w:leader="none" w:pos="4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78" w:lineRule="exact"/>
        <w:rPr>
          <w:rFonts w:ascii="Times New Roman" w:cs="Times New Roman" w:eastAsia="Times New Roman" w:hAnsi="Times New Roman"/>
          <w:sz w:val="18"/>
          <w:szCs w:val="18"/>
          <w:color w:val="auto"/>
        </w:rPr>
      </w:pPr>
    </w:p>
    <w:p>
      <w:pPr>
        <w:ind w:left="488" w:hanging="488"/>
        <w:spacing w:after="0" w:line="360" w:lineRule="auto"/>
        <w:tabs>
          <w:tab w:leader="none" w:pos="4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thereunder, as such law, rules and regulations may be amended from time to time.</w:t>
      </w:r>
    </w:p>
    <w:p>
      <w:pPr>
        <w:spacing w:after="0" w:line="67"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means an executive officer of the Company as defined under the Exchange Act.</w:t>
      </w:r>
    </w:p>
    <w:p>
      <w:pPr>
        <w:spacing w:after="0" w:line="184" w:lineRule="exact"/>
        <w:rPr>
          <w:rFonts w:ascii="Times New Roman" w:cs="Times New Roman" w:eastAsia="Times New Roman" w:hAnsi="Times New Roman"/>
          <w:sz w:val="18"/>
          <w:szCs w:val="18"/>
          <w:color w:val="auto"/>
        </w:rPr>
      </w:pPr>
    </w:p>
    <w:p>
      <w:pPr>
        <w:ind w:left="488" w:hanging="488"/>
        <w:spacing w:after="0" w:line="376" w:lineRule="auto"/>
        <w:tabs>
          <w:tab w:leader="none" w:pos="4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Right that is intended to qualify as an “incentive stock option” under Section 422 of the Code or any successor provision.</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341"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Objectives”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or that an adjustment thereto is appropriate, the Committee may in its discretion modify such Management Objectives or the acceptable levels of achievement, in whole or in part, as the Committee deems appropriate and equitable.</w:t>
      </w:r>
    </w:p>
    <w:p>
      <w:pPr>
        <w:sectPr>
          <w:pgSz w:w="11900" w:h="16838" w:orient="portrait"/>
          <w:cols w:equalWidth="0" w:num="1">
            <w:col w:w="10908"/>
          </w:cols>
          <w:pgMar w:left="652" w:top="1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88" w:hanging="488"/>
        <w:spacing w:after="0" w:line="344" w:lineRule="auto"/>
        <w:tabs>
          <w:tab w:leader="none" w:pos="4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method of determining the fair market value, and the value of a share of Common Stock determined using such method shall be deemed to be the Market Value per Share, provided such method in compliance with the fair market value pricing rules set forth in Section 409A of the Code to the extent applicable.</w:t>
      </w:r>
    </w:p>
    <w:p>
      <w:pPr>
        <w:spacing w:after="0" w:line="69"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means the optionee named in an Evidence of Award evidencing an outstanding Option Right.</w:t>
      </w:r>
    </w:p>
    <w:p>
      <w:pPr>
        <w:spacing w:after="0" w:line="198"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purchase price payable on exercise of an Option Right.</w:t>
      </w:r>
    </w:p>
    <w:p>
      <w:pPr>
        <w:spacing w:after="0" w:line="184"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 means the right to purchase shares of Common Stock upon exercise of an award granted pursuant to Section 4 of this Plan.</w:t>
      </w:r>
    </w:p>
    <w:p>
      <w:pPr>
        <w:spacing w:after="0" w:line="198" w:lineRule="exact"/>
        <w:rPr>
          <w:rFonts w:ascii="Times New Roman" w:cs="Times New Roman" w:eastAsia="Times New Roman" w:hAnsi="Times New Roman"/>
          <w:sz w:val="18"/>
          <w:szCs w:val="18"/>
          <w:color w:val="auto"/>
        </w:rPr>
      </w:pPr>
    </w:p>
    <w:p>
      <w:pPr>
        <w:jc w:val="both"/>
        <w:ind w:left="488" w:hanging="488"/>
        <w:spacing w:after="0" w:line="341" w:lineRule="auto"/>
        <w:tabs>
          <w:tab w:leader="none" w:pos="4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is selected by the Committee to receive benefits under this Plan and who is at the time (i) a non-employee Director (which, for purposes of this Plan, means a Director who is not, at the relevant time, employed by the Company or one of its Subsidiaries), (ii) an officer or other employee of the Company or any Subsidiary (or an individual engaged to become an officer or other employee), or (iii) an individual consultant or advisor who renders or has rendered bona fide services to the Company or any Subsidiary (other than services in connection with the offering or sale of securities of the Company or a Subsidiary in a capital-raising transaction or as a market maker or promoter of securities of the Company or a Subsidiary); provided, however, that an individual referred to in clause (iii) may participate in this Plan only if such participation would not adversely affect either the Company’s eligibility to use Form S-8 to register the offering and sale of shares issuable under this Plan under the Securities Act of 1933, as amended, or the Company’s compliance with any other applicable laws. Only individuals described in the foregoing clauses (i), (ii) or (iii), in each case as determined by the Committee, are eligible to receive awards under this Plan. No individual shall have any right to be granted an award, even if an award was granted to such individual at any prior time or if a similarly situated individual is or was granted an award under similar circumstances.</w:t>
      </w:r>
    </w:p>
    <w:p>
      <w:pPr>
        <w:spacing w:after="0" w:line="72" w:lineRule="exact"/>
        <w:rPr>
          <w:rFonts w:ascii="Times New Roman" w:cs="Times New Roman" w:eastAsia="Times New Roman" w:hAnsi="Times New Roman"/>
          <w:sz w:val="18"/>
          <w:szCs w:val="18"/>
          <w:color w:val="auto"/>
        </w:rPr>
      </w:pPr>
    </w:p>
    <w:p>
      <w:pPr>
        <w:jc w:val="both"/>
        <w:ind w:left="488" w:hanging="488"/>
        <w:spacing w:after="0" w:line="360" w:lineRule="auto"/>
        <w:tabs>
          <w:tab w:leader="none" w:pos="4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in respect of a Cash Incentive Award, Performance Share or Performance Unit, a period of time established pursuant to Section 8 of this Plan within which the Management Objectives relating to such Cash Incentive Award, Performance Share or Performance Unit are to be achieved.</w:t>
      </w:r>
    </w:p>
    <w:p>
      <w:pPr>
        <w:spacing w:after="0" w:line="54" w:lineRule="exact"/>
        <w:rPr>
          <w:rFonts w:ascii="Times New Roman" w:cs="Times New Roman" w:eastAsia="Times New Roman" w:hAnsi="Times New Roman"/>
          <w:sz w:val="18"/>
          <w:szCs w:val="18"/>
          <w:color w:val="auto"/>
        </w:rPr>
      </w:pPr>
    </w:p>
    <w:p>
      <w:pPr>
        <w:ind w:left="488" w:hanging="488"/>
        <w:spacing w:after="0" w:line="376" w:lineRule="auto"/>
        <w:tabs>
          <w:tab w:leader="none" w:pos="4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a bookkeeping entry that records the equivalent of one share of Common Stock awarded pursuant to Section 8 of this Plan.</w:t>
      </w:r>
    </w:p>
    <w:p>
      <w:pPr>
        <w:spacing w:after="0" w:line="40" w:lineRule="exact"/>
        <w:rPr>
          <w:sz w:val="20"/>
          <w:szCs w:val="20"/>
          <w:color w:val="auto"/>
        </w:rPr>
      </w:pPr>
    </w:p>
    <w:p>
      <w:pPr>
        <w:ind w:left="488" w:hanging="488"/>
        <w:spacing w:after="0" w:line="376" w:lineRule="auto"/>
        <w:tabs>
          <w:tab w:leader="none" w:pos="4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 means a bookkeeping entry awarded pursuant to Section 8 of this Plan that records a unit equivalent to $1.00 or such other value as is determined by the Committee.</w:t>
      </w:r>
    </w:p>
    <w:p>
      <w:pPr>
        <w:spacing w:after="0" w:line="53" w:lineRule="exact"/>
        <w:rPr>
          <w:rFonts w:ascii="Times New Roman" w:cs="Times New Roman" w:eastAsia="Times New Roman" w:hAnsi="Times New Roman"/>
          <w:sz w:val="18"/>
          <w:szCs w:val="18"/>
          <w:color w:val="auto"/>
        </w:rPr>
      </w:pPr>
    </w:p>
    <w:p>
      <w:pPr>
        <w:ind w:left="488" w:hanging="488"/>
        <w:spacing w:after="0" w:line="360" w:lineRule="auto"/>
        <w:tabs>
          <w:tab w:leader="none" w:pos="5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Synaptics Incorporated 2019 Equity and Incentive Compensation Plan, as amended or amended and restated from time to time.</w:t>
      </w:r>
    </w:p>
    <w:p>
      <w:pPr>
        <w:sectPr>
          <w:pgSz w:w="11900" w:h="16838" w:orient="portrait"/>
          <w:cols w:equalWidth="0" w:num="1">
            <w:col w:w="10908"/>
          </w:cols>
          <w:pgMar w:left="652" w:top="1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8" w:hanging="488"/>
        <w:spacing w:after="0" w:line="37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“Predecessor Plans” means the Synaptics Incorporated Amended and Restated 2010 Incentive Compensation Plan and the Synaptics Incorporated Amended and Restated 2001 Incentive Compensation Plan, as amended.</w:t>
      </w:r>
    </w:p>
    <w:p>
      <w:pPr>
        <w:spacing w:after="0" w:line="39" w:lineRule="exact"/>
        <w:rPr>
          <w:rFonts w:ascii="Times New Roman" w:cs="Times New Roman" w:eastAsia="Times New Roman" w:hAnsi="Times New Roman"/>
          <w:sz w:val="18"/>
          <w:szCs w:val="18"/>
          <w:color w:val="auto"/>
        </w:rPr>
      </w:pPr>
    </w:p>
    <w:p>
      <w:pPr>
        <w:jc w:val="both"/>
        <w:ind w:left="488" w:hanging="488"/>
        <w:spacing w:after="0" w:line="341" w:lineRule="auto"/>
        <w:tabs>
          <w:tab w:leader="none" w:pos="4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Award” means an award (i) of the same type (e.g.,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treatment of which under the Code is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Change in Control), in each case after giving effect to any changes to the replaced award in connection with the Change in Control permitted or required under the applicable Evidence of Award.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these conditions are satisfied will be made by the Committee, as constituted immediately before the Change in Control, in its sole discretion.</w:t>
      </w:r>
    </w:p>
    <w:p>
      <w:pPr>
        <w:spacing w:after="0" w:line="75" w:lineRule="exact"/>
        <w:rPr>
          <w:rFonts w:ascii="Times New Roman" w:cs="Times New Roman" w:eastAsia="Times New Roman" w:hAnsi="Times New Roman"/>
          <w:sz w:val="18"/>
          <w:szCs w:val="18"/>
          <w:color w:val="auto"/>
        </w:rPr>
      </w:pPr>
    </w:p>
    <w:p>
      <w:pPr>
        <w:ind w:left="488" w:hanging="488"/>
        <w:spacing w:after="0" w:line="376" w:lineRule="auto"/>
        <w:tabs>
          <w:tab w:leader="none" w:pos="4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of Common Stock granted or sold pursuant to Section 6 of this Plan as to which neither the substantial risk of forfeiture nor the prohibition on transfers has expired.</w:t>
      </w:r>
    </w:p>
    <w:p>
      <w:pPr>
        <w:spacing w:after="0" w:line="53" w:lineRule="exact"/>
        <w:rPr>
          <w:rFonts w:ascii="Times New Roman" w:cs="Times New Roman" w:eastAsia="Times New Roman" w:hAnsi="Times New Roman"/>
          <w:sz w:val="18"/>
          <w:szCs w:val="18"/>
          <w:color w:val="auto"/>
        </w:rPr>
      </w:pPr>
    </w:p>
    <w:p>
      <w:pPr>
        <w:ind w:left="488" w:right="20" w:hanging="488"/>
        <w:spacing w:after="0" w:line="360"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means an award made pursuant to Section 7 of this Plan of the right to receive shares of Common Stock, cash or a combination thereof at the end of the applicable Restriction Period.</w:t>
      </w:r>
    </w:p>
    <w:p>
      <w:pPr>
        <w:spacing w:after="0" w:line="67" w:lineRule="exact"/>
        <w:rPr>
          <w:rFonts w:ascii="Times New Roman" w:cs="Times New Roman" w:eastAsia="Times New Roman" w:hAnsi="Times New Roman"/>
          <w:sz w:val="18"/>
          <w:szCs w:val="18"/>
          <w:color w:val="auto"/>
        </w:rPr>
      </w:pPr>
    </w:p>
    <w:p>
      <w:pPr>
        <w:ind w:left="488" w:hanging="488"/>
        <w:spacing w:after="0" w:line="360" w:lineRule="auto"/>
        <w:tabs>
          <w:tab w:leader="none" w:pos="5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Period” means the period of time during which Restricted Stock Units are subject to restrictions, as provided in Section 7 of this Plan.</w:t>
      </w:r>
    </w:p>
    <w:p>
      <w:pPr>
        <w:spacing w:after="0" w:line="67" w:lineRule="exact"/>
        <w:rPr>
          <w:rFonts w:ascii="Times New Roman" w:cs="Times New Roman" w:eastAsia="Times New Roman" w:hAnsi="Times New Roman"/>
          <w:sz w:val="18"/>
          <w:szCs w:val="18"/>
          <w:color w:val="auto"/>
        </w:rPr>
      </w:pPr>
    </w:p>
    <w:p>
      <w:pPr>
        <w:ind w:left="488" w:hanging="488"/>
        <w:spacing w:after="0" w:line="360"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means the excess of the Market Value per Share on the date when an Appreciation Right is exercised over the Base Price provided for with respect to the Appreciation Right.</w:t>
      </w:r>
    </w:p>
    <w:p>
      <w:pPr>
        <w:spacing w:after="0" w:line="67"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means an individual or entity that owns one or more shares of Common Stock.</w:t>
      </w:r>
    </w:p>
    <w:p>
      <w:pPr>
        <w:spacing w:after="0" w:line="198" w:lineRule="exact"/>
        <w:rPr>
          <w:rFonts w:ascii="Times New Roman" w:cs="Times New Roman" w:eastAsia="Times New Roman" w:hAnsi="Times New Roman"/>
          <w:sz w:val="18"/>
          <w:szCs w:val="18"/>
          <w:color w:val="auto"/>
        </w:rPr>
      </w:pPr>
    </w:p>
    <w:p>
      <w:pPr>
        <w:ind w:left="488" w:hanging="488"/>
        <w:spacing w:after="0" w:line="341" w:lineRule="auto"/>
        <w:tabs>
          <w:tab w:leader="none" w:pos="4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provided, however,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ectPr>
          <w:pgSz w:w="11900" w:h="16838" w:orient="portrait"/>
          <w:cols w:equalWidth="0" w:num="1">
            <w:col w:w="10908"/>
          </w:cols>
          <w:pgMar w:left="652" w:top="1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hanging="488"/>
        <w:spacing w:after="0" w:line="352" w:lineRule="auto"/>
        <w:tabs>
          <w:tab w:leader="none" w:pos="8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Stockholder" means an employee of the Company or an affiliate, or an individual engaged to become such an employee, who, as of the date an Incentive Stock Option is granted to such individual, owns more than ten percent (10%) of the total combined voting power of all classes of shares then issued by the Company or a Subsidiary corporation.</w:t>
      </w:r>
    </w:p>
    <w:p>
      <w:pPr>
        <w:spacing w:after="0" w:line="74" w:lineRule="exact"/>
        <w:rPr>
          <w:rFonts w:ascii="Times New Roman" w:cs="Times New Roman" w:eastAsia="Times New Roman" w:hAnsi="Times New Roman"/>
          <w:sz w:val="18"/>
          <w:szCs w:val="18"/>
          <w:color w:val="auto"/>
        </w:rPr>
      </w:pPr>
    </w:p>
    <w:p>
      <w:pPr>
        <w:ind w:left="820" w:right="380" w:hanging="488"/>
        <w:spacing w:after="0" w:line="360" w:lineRule="auto"/>
        <w:tabs>
          <w:tab w:leader="none" w:pos="7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Available Under this Plan.</w:t>
      </w:r>
    </w:p>
    <w:p>
      <w:pPr>
        <w:spacing w:after="0" w:line="20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 Under this Plan.</w:t>
      </w:r>
    </w:p>
    <w:p>
      <w:pPr>
        <w:spacing w:after="0" w:line="184" w:lineRule="exact"/>
        <w:rPr>
          <w:rFonts w:ascii="Times New Roman" w:cs="Times New Roman" w:eastAsia="Times New Roman" w:hAnsi="Times New Roman"/>
          <w:sz w:val="18"/>
          <w:szCs w:val="18"/>
          <w:color w:val="auto"/>
        </w:rPr>
      </w:pPr>
    </w:p>
    <w:p>
      <w:pPr>
        <w:jc w:val="both"/>
        <w:ind w:left="1300" w:hanging="239"/>
        <w:spacing w:after="0" w:line="344" w:lineRule="auto"/>
        <w:tabs>
          <w:tab w:leader="none" w:pos="129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11 of this Plan and the share counting rules set forth in Section 3(b) of this Plan, and except as provided in Section 22 of this Plan, the maximum number of shares of Common Stock available for issuance under this Plan for awards of (A) Option Rights or Appreciation Rights, (B) Restricted Stock, (C) Restricted Stock Units, (D) Performance Shares or Performance Units, (E) awards contemplated by Section 9 of this Plan, or (F) dividend equivalents paid with respect to awards made under this Plan will not exceed in the aggregate 7,588,000 shares of Common Stock. Such shares may be shares of original issuance or treasury shares or a combination of the foregoing.</w:t>
      </w:r>
    </w:p>
    <w:p>
      <w:pPr>
        <w:spacing w:after="0" w:line="83" w:lineRule="exact"/>
        <w:rPr>
          <w:sz w:val="20"/>
          <w:szCs w:val="20"/>
          <w:color w:val="auto"/>
        </w:rPr>
      </w:pPr>
    </w:p>
    <w:p>
      <w:pPr>
        <w:ind w:left="1300" w:hanging="242"/>
        <w:spacing w:after="0" w:line="360" w:lineRule="auto"/>
        <w:rPr>
          <w:sz w:val="20"/>
          <w:szCs w:val="20"/>
          <w:color w:val="auto"/>
        </w:rPr>
      </w:pPr>
      <w:r>
        <w:rPr>
          <w:rFonts w:ascii="Times New Roman" w:cs="Times New Roman" w:eastAsia="Times New Roman" w:hAnsi="Times New Roman"/>
          <w:sz w:val="18"/>
          <w:szCs w:val="18"/>
          <w:color w:val="auto"/>
        </w:rPr>
        <w:t>(ii)The aggregate number of shares of Common Stock available under Section 3(a)(i) of this Plan will be reduced by one share of Common Stock for every one share of Common Stock subject to each award granted under this Plan.</w:t>
      </w:r>
    </w:p>
    <w:p>
      <w:pPr>
        <w:spacing w:after="0" w:line="68"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 Rules.</w:t>
      </w:r>
    </w:p>
    <w:p>
      <w:pPr>
        <w:spacing w:after="0" w:line="171" w:lineRule="exact"/>
        <w:rPr>
          <w:rFonts w:ascii="Times New Roman" w:cs="Times New Roman" w:eastAsia="Times New Roman" w:hAnsi="Times New Roman"/>
          <w:sz w:val="18"/>
          <w:szCs w:val="18"/>
          <w:color w:val="auto"/>
        </w:rPr>
      </w:pPr>
    </w:p>
    <w:p>
      <w:pPr>
        <w:jc w:val="both"/>
        <w:ind w:left="1300" w:hanging="239"/>
        <w:spacing w:after="0" w:line="275" w:lineRule="auto"/>
        <w:tabs>
          <w:tab w:leader="none" w:pos="129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22 of this Plan, if any award granted under this Plan is cancelled or forfeited, expires, is settled for cash (in whole or in part), or it is determined during or at the conclusion of the term of an award that all or some portion of the shares of Common Stock with respect to which the award was granted will not be issuable on the basis that the conditions for such issuance will not be satisfied, the shares of Common Stock subject to such award will, to the extent of such cancellation, forfeiture, expiration, cash settlement, or unissuable amount, again be available under Section 3(a)(i) above.</w:t>
      </w:r>
    </w:p>
    <w:p>
      <w:pPr>
        <w:spacing w:after="0" w:line="2" w:lineRule="exact"/>
        <w:rPr>
          <w:sz w:val="20"/>
          <w:szCs w:val="20"/>
          <w:color w:val="auto"/>
        </w:rPr>
      </w:pPr>
    </w:p>
    <w:p>
      <w:pPr>
        <w:jc w:val="both"/>
        <w:ind w:left="1300" w:hanging="242"/>
        <w:spacing w:after="0" w:line="349" w:lineRule="auto"/>
        <w:rPr>
          <w:sz w:val="20"/>
          <w:szCs w:val="20"/>
          <w:color w:val="auto"/>
        </w:rPr>
      </w:pPr>
      <w:r>
        <w:rPr>
          <w:rFonts w:ascii="Times New Roman" w:cs="Times New Roman" w:eastAsia="Times New Roman" w:hAnsi="Times New Roman"/>
          <w:sz w:val="18"/>
          <w:szCs w:val="18"/>
          <w:color w:val="auto"/>
        </w:rPr>
        <w:t>(ii)If, after the Effective Date, any shares of Common Stock subject to an award granted under the Predecessor Plans are forfeited, or an award granted under the Predecessor Plans is cancelled or forfeited, expires, is settled for cash (in whole or in part), or is unearned (in whole or in part), the shares of Common Stock subject to such award will, to the extent of such cancellation, forfeiture, expiration, cash settlement, or unearned amount, be available for awards under this Plan.</w:t>
      </w:r>
    </w:p>
    <w:p>
      <w:pPr>
        <w:spacing w:after="0" w:line="79" w:lineRule="exact"/>
        <w:rPr>
          <w:sz w:val="20"/>
          <w:szCs w:val="20"/>
          <w:color w:val="auto"/>
        </w:rPr>
      </w:pPr>
    </w:p>
    <w:p>
      <w:pPr>
        <w:jc w:val="both"/>
        <w:ind w:left="1300" w:hanging="239"/>
        <w:spacing w:after="0" w:line="341" w:lineRule="auto"/>
        <w:tabs>
          <w:tab w:leader="none" w:pos="19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Section 3(a)(i) of this Plan; (B) shares of Common Stock withheld by the Company, tendered or otherwise used to satisfy tax withholding with respect to Option Rights or Appreciation Rights granted under this Plan will not be added (or added back, as applicable) to the aggregate number of shares of Common Stock available under Section 3(a)(i) of this Plan; (C) shares of Common Stock subject to an</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68"/>
        <w:spacing w:after="0" w:line="344" w:lineRule="auto"/>
        <w:rPr>
          <w:sz w:val="20"/>
          <w:szCs w:val="20"/>
          <w:color w:val="auto"/>
        </w:rPr>
      </w:pPr>
      <w:r>
        <w:rPr>
          <w:rFonts w:ascii="Times New Roman" w:cs="Times New Roman" w:eastAsia="Times New Roman" w:hAnsi="Times New Roman"/>
          <w:sz w:val="18"/>
          <w:szCs w:val="18"/>
          <w:color w:val="auto"/>
        </w:rPr>
        <w:t>Appreciation Right that are not actually issued in connection with the settlement of such Appreciation Right on the exercise thereof will not be added back to the aggregate number of shares of Common Stock available under Section 3(a)(i) of this Plan; and (D) shares of Common Stock reacquired by the Company on the open market or otherwise using cash proceeds from the exercise of Option Rights will not be added (or added back, as applicable) to the aggregate number of shares of Common Stock available under Section 3(a)(i) of this Plan.</w:t>
      </w:r>
    </w:p>
    <w:p>
      <w:pPr>
        <w:spacing w:after="0" w:line="83" w:lineRule="exact"/>
        <w:rPr>
          <w:sz w:val="20"/>
          <w:szCs w:val="20"/>
          <w:color w:val="auto"/>
        </w:rPr>
      </w:pPr>
    </w:p>
    <w:p>
      <w:pPr>
        <w:jc w:val="both"/>
        <w:ind w:left="968" w:hanging="239"/>
        <w:spacing w:after="0" w:line="352" w:lineRule="auto"/>
        <w:tabs>
          <w:tab w:leader="none" w:pos="16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this Plan, a Participant has elected to give up the right to receive compensation in exchange for shares of Common Stock based on fair market value, such shares of Common Stock will not count against the aggregate limit under Section 3(a)(i) of this Plan.</w:t>
      </w:r>
    </w:p>
    <w:p>
      <w:pPr>
        <w:spacing w:after="0" w:line="74" w:lineRule="exact"/>
        <w:rPr>
          <w:rFonts w:ascii="Times New Roman" w:cs="Times New Roman" w:eastAsia="Times New Roman" w:hAnsi="Times New Roman"/>
          <w:sz w:val="18"/>
          <w:szCs w:val="18"/>
          <w:color w:val="auto"/>
        </w:rPr>
      </w:pPr>
    </w:p>
    <w:p>
      <w:pPr>
        <w:jc w:val="both"/>
        <w:ind w:left="488" w:hanging="488"/>
        <w:spacing w:after="0" w:line="352" w:lineRule="auto"/>
        <w:tabs>
          <w:tab w:leader="none" w:pos="4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Section 3 or elsewhere in this Plan, and subject to adjustment as provided in Section 11 of this Plan, the aggregate number of shares of Common Stock actually issued or transferred by the Company upon the exercise of Incentive Stock Options will not exceed 7,588,000 shares of Common Stock.</w:t>
      </w:r>
    </w:p>
    <w:p>
      <w:pPr>
        <w:spacing w:after="0" w:line="74" w:lineRule="exact"/>
        <w:rPr>
          <w:rFonts w:ascii="Times New Roman" w:cs="Times New Roman" w:eastAsia="Times New Roman" w:hAnsi="Times New Roman"/>
          <w:sz w:val="18"/>
          <w:szCs w:val="18"/>
          <w:color w:val="auto"/>
        </w:rPr>
      </w:pPr>
    </w:p>
    <w:p>
      <w:pPr>
        <w:jc w:val="both"/>
        <w:ind w:left="488" w:hanging="488"/>
        <w:spacing w:after="0" w:line="339" w:lineRule="auto"/>
        <w:tabs>
          <w:tab w:leader="none" w:pos="4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Requirements.</w:t>
      </w:r>
      <w:r>
        <w:rPr>
          <w:rFonts w:ascii="Times New Roman" w:cs="Times New Roman" w:eastAsia="Times New Roman" w:hAnsi="Times New Roman"/>
          <w:sz w:val="18"/>
          <w:szCs w:val="18"/>
          <w:color w:val="auto"/>
        </w:rPr>
        <w:t xml:space="preserve"> Except as set forth below in this Section 3(d), no award granted under this Plan on or after the Effective Date may vest earlier than after a one-year vesting period or a one-year performance period, as applicable. However, up to 5% of the sum of (A) the number of shares available for issuance under the aggregate limit set forth in Section 3(a)(i) of this Plan plus (B) the number of shares that are returned to the aggregate number of shares of Common Stock available under Section 3(a)(i) of this Plan from time to time pursuant to awards granted under the Predecessor Plans that are outstanding on the Effective Date and are cancelled or forfeited, expire, are settled for cash (in whole or in part), or are unearned (in whole or in part) after the Effective Date, may be issued or delivered after the Effective Date in respect of awards that do not meet such minimum vesting requirements. In addition, nothing in this Section 3(d) shall limit the Company’s ability to grant awards that contain rights to accelerated vesting in connection with the award recipient’s death or Disability or in connection with a Change in Control (or the Committee’s authority to provide for the acceleration of an award, or portion thereof, in any circumstances), and any shares subject to any portion of an award that provides for acceleration, or that accelerates, in connection with the award recipient’s death or Disability, or in connection with a Change in Control, or pursuant to the Committee's authority, shall not count against the 5% pool of shares described in the immediately preceding sentence (the “5% Pool”). In addition, the minimum vesting criteria set forth in this Section 3(d) shall not apply to awards granted pursuant to an assumption of or substitution for another stock award (which stock award was granted by another person) in connection with a Change in Control or acquisition by the Company of the other person, and the shares subject to any such award shall not count against the 5% Pool. For purposes of awards granted to non-employee Directors, “one year” may mean the period of time from one annual stockholders meeting to the next annual stockholders meeting, provided that such period of time is not less than fifty (50) weeks.</w:t>
      </w:r>
    </w:p>
    <w:p>
      <w:pPr>
        <w:spacing w:after="0" w:line="87" w:lineRule="exact"/>
        <w:rPr>
          <w:rFonts w:ascii="Times New Roman" w:cs="Times New Roman" w:eastAsia="Times New Roman" w:hAnsi="Times New Roman"/>
          <w:sz w:val="18"/>
          <w:szCs w:val="18"/>
          <w:color w:val="auto"/>
        </w:rPr>
      </w:pPr>
    </w:p>
    <w:p>
      <w:pPr>
        <w:jc w:val="both"/>
        <w:ind w:left="488" w:hanging="488"/>
        <w:spacing w:after="0" w:line="349" w:lineRule="auto"/>
        <w:tabs>
          <w:tab w:leader="none" w:pos="4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xml:space="preserve"> Notwithstanding anything contained in this Section 3, or elsewhere in this Plan, to the contrary and subject to adjustment as provided in Section 11 of this Plan, in no event will any non-employee Director in any calendar year be granted compensation (including, without limitation, cash compensation) for the Director’s service as a member of the Board (including Board committees) in such year</w:t>
      </w:r>
    </w:p>
    <w:p>
      <w:pPr>
        <w:sectPr>
          <w:pgSz w:w="11900" w:h="16838" w:orient="portrait"/>
          <w:cols w:equalWidth="0" w:num="1">
            <w:col w:w="10908"/>
          </w:cols>
          <w:pgMar w:left="652" w:top="1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spacing w:after="0" w:line="349" w:lineRule="auto"/>
        <w:rPr>
          <w:sz w:val="20"/>
          <w:szCs w:val="20"/>
          <w:color w:val="auto"/>
        </w:rPr>
      </w:pPr>
      <w:r>
        <w:rPr>
          <w:rFonts w:ascii="Times New Roman" w:cs="Times New Roman" w:eastAsia="Times New Roman" w:hAnsi="Times New Roman"/>
          <w:sz w:val="18"/>
          <w:szCs w:val="18"/>
          <w:color w:val="auto"/>
        </w:rPr>
        <w:t>having an aggregate value (measured at the Date of Grant as applicable, and calculating the value of any awards based on the grant date fair value for financial reporting purposes) in excess of $750,000. For the avoidance of doubt, in a year in which a non-employee Director serves as an employee or consultant (including as an interim officer), such limit shall not apply to compensation approved to be paid to such non-employee Director by the other non-employee directors in respect of such service as an employee or consultant.</w:t>
      </w:r>
    </w:p>
    <w:p>
      <w:pPr>
        <w:spacing w:after="0" w:line="61" w:lineRule="exact"/>
        <w:rPr>
          <w:sz w:val="20"/>
          <w:szCs w:val="20"/>
          <w:color w:val="auto"/>
        </w:rPr>
      </w:pPr>
    </w:p>
    <w:p>
      <w:pPr>
        <w:jc w:val="both"/>
        <w:ind w:left="340" w:hanging="332"/>
        <w:spacing w:after="0" w:line="36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Rights. </w:t>
      </w:r>
      <w:r>
        <w:rPr>
          <w:rFonts w:ascii="Times New Roman" w:cs="Times New Roman" w:eastAsia="Times New Roman" w:hAnsi="Times New Roman"/>
          <w:sz w:val="18"/>
          <w:szCs w:val="18"/>
          <w:color w:val="auto"/>
        </w:rPr>
        <w:t>The Committee may, from time to time and upon such terms and conditions as it may determine, authorize the granting to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Option Rights. Each such grant may utilize any or all of the authorizations, and will be subject to all of the requirements, contained in the following provisions:</w:t>
      </w:r>
    </w:p>
    <w:p>
      <w:pPr>
        <w:spacing w:after="0" w:line="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of shares of Common Stock to which it pertains subject to the limitations set forth in Section 3 of this Plan.</w:t>
      </w:r>
    </w:p>
    <w:p>
      <w:pPr>
        <w:spacing w:after="0" w:line="171" w:lineRule="exact"/>
        <w:rPr>
          <w:rFonts w:ascii="Times New Roman" w:cs="Times New Roman" w:eastAsia="Times New Roman" w:hAnsi="Times New Roman"/>
          <w:sz w:val="18"/>
          <w:szCs w:val="18"/>
          <w:color w:val="auto"/>
        </w:rPr>
      </w:pPr>
    </w:p>
    <w:p>
      <w:pPr>
        <w:jc w:val="both"/>
        <w:ind w:left="820" w:right="40" w:hanging="488"/>
        <w:spacing w:after="0" w:line="281" w:lineRule="auto"/>
        <w:tabs>
          <w:tab w:leader="none" w:pos="8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an Option Price per share of Common Stock, which Option Price (except with respect to awards under Section 22 of this Plan) may not be less than the Market Value per Share on the Date of Grant (or not less than 110% of the Market Value per Share on the Date of Grant in the case of grants to Ten Percent Stockholders).</w:t>
      </w:r>
    </w:p>
    <w:p>
      <w:pPr>
        <w:spacing w:after="0" w:line="1" w:lineRule="exact"/>
        <w:rPr>
          <w:rFonts w:ascii="Times New Roman" w:cs="Times New Roman" w:eastAsia="Times New Roman" w:hAnsi="Times New Roman"/>
          <w:sz w:val="18"/>
          <w:szCs w:val="18"/>
          <w:color w:val="auto"/>
        </w:rPr>
      </w:pPr>
    </w:p>
    <w:p>
      <w:pPr>
        <w:jc w:val="both"/>
        <w:ind w:left="820" w:hanging="488"/>
        <w:spacing w:after="0" w:line="336" w:lineRule="auto"/>
        <w:tabs>
          <w:tab w:leader="none" w:pos="8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w:t>
      </w:r>
    </w:p>
    <w:p>
      <w:pPr>
        <w:spacing w:after="0" w:line="2"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by such other methods as may be approved by the Committee.</w:t>
      </w:r>
    </w:p>
    <w:p>
      <w:pPr>
        <w:spacing w:after="0" w:line="198" w:lineRule="exact"/>
        <w:rPr>
          <w:rFonts w:ascii="Times New Roman" w:cs="Times New Roman" w:eastAsia="Times New Roman" w:hAnsi="Times New Roman"/>
          <w:sz w:val="18"/>
          <w:szCs w:val="18"/>
          <w:color w:val="auto"/>
        </w:rPr>
      </w:pPr>
    </w:p>
    <w:p>
      <w:pPr>
        <w:ind w:left="820" w:hanging="488"/>
        <w:spacing w:after="0" w:line="360" w:lineRule="auto"/>
        <w:tabs>
          <w:tab w:leader="none" w:pos="8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67" w:lineRule="exact"/>
        <w:rPr>
          <w:rFonts w:ascii="Times New Roman" w:cs="Times New Roman" w:eastAsia="Times New Roman" w:hAnsi="Times New Roman"/>
          <w:sz w:val="18"/>
          <w:szCs w:val="18"/>
          <w:color w:val="auto"/>
        </w:rPr>
      </w:pPr>
    </w:p>
    <w:p>
      <w:pPr>
        <w:ind w:left="820" w:hanging="488"/>
        <w:spacing w:after="0" w:line="376" w:lineRule="auto"/>
        <w:tabs>
          <w:tab w:leader="none" w:pos="81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may be made to the same Participant whether or not any Option Rights previously granted to such Participant remain unexercised.</w:t>
      </w:r>
    </w:p>
    <w:p>
      <w:pPr>
        <w:spacing w:after="0" w:line="39"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Optionee with the Company or any Subsidiary, if any, that is necessary before any Option Rights or installments thereof will become exercisable. Option Rights may provide for continued vesting or the earlier exercise of such Option Rights, including in the event of the retirement, death or Disability of a Participant, subject to the minimum vesting provisions of Section 3(d).</w:t>
      </w:r>
    </w:p>
    <w:p>
      <w:pPr>
        <w:spacing w:after="0" w:line="78" w:lineRule="exact"/>
        <w:rPr>
          <w:rFonts w:ascii="Times New Roman" w:cs="Times New Roman" w:eastAsia="Times New Roman" w:hAnsi="Times New Roman"/>
          <w:sz w:val="18"/>
          <w:szCs w:val="18"/>
          <w:color w:val="auto"/>
        </w:rPr>
      </w:pPr>
    </w:p>
    <w:p>
      <w:pPr>
        <w:ind w:left="820" w:hanging="488"/>
        <w:spacing w:after="0" w:line="360" w:lineRule="auto"/>
        <w:tabs>
          <w:tab w:leader="none" w:pos="8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Option Rights may specify Management Objectives that must (except as the Committee may otherwise provide) be achieved as a condition to the exercise of such rights.</w:t>
      </w:r>
    </w:p>
    <w:p>
      <w:pPr>
        <w:spacing w:after="0" w:line="67" w:lineRule="exact"/>
        <w:rPr>
          <w:rFonts w:ascii="Times New Roman" w:cs="Times New Roman" w:eastAsia="Times New Roman" w:hAnsi="Times New Roman"/>
          <w:sz w:val="18"/>
          <w:szCs w:val="18"/>
          <w:color w:val="auto"/>
        </w:rPr>
      </w:pPr>
    </w:p>
    <w:p>
      <w:pPr>
        <w:ind w:left="820" w:hanging="488"/>
        <w:spacing w:after="0" w:line="360" w:lineRule="auto"/>
        <w:tabs>
          <w:tab w:leader="none" w:pos="8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be (i) options, including Incentive Stock Options, that are intended to qualify under particular provisions of the Code, (ii) options that are not intended to so qualify, or (iii)</w:t>
      </w:r>
    </w:p>
    <w:p>
      <w:pPr>
        <w:sectPr>
          <w:pgSz w:w="11900" w:h="16838" w:orient="portrait"/>
          <w:cols w:equalWidth="0" w:num="1">
            <w:col w:w="11240"/>
          </w:cols>
          <w:pgMar w:left="320" w:top="10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spacing w:after="0" w:line="376" w:lineRule="auto"/>
        <w:rPr>
          <w:sz w:val="20"/>
          <w:szCs w:val="20"/>
          <w:color w:val="auto"/>
        </w:rPr>
      </w:pPr>
      <w:r>
        <w:rPr>
          <w:rFonts w:ascii="Times New Roman" w:cs="Times New Roman" w:eastAsia="Times New Roman" w:hAnsi="Times New Roman"/>
          <w:sz w:val="18"/>
          <w:szCs w:val="18"/>
          <w:color w:val="auto"/>
        </w:rPr>
        <w:t>combinations of the foregoing. Incentive Stock Options may only be granted to Participants who meet the definition of “employees” under Section 3401(c) of the Code.</w:t>
      </w:r>
    </w:p>
    <w:p>
      <w:pPr>
        <w:spacing w:after="0" w:line="13" w:lineRule="exact"/>
        <w:rPr>
          <w:sz w:val="20"/>
          <w:szCs w:val="20"/>
          <w:color w:val="auto"/>
        </w:rPr>
      </w:pPr>
    </w:p>
    <w:p>
      <w:pPr>
        <w:jc w:val="both"/>
        <w:ind w:left="820" w:hanging="488"/>
        <w:spacing w:after="0" w:line="281" w:lineRule="auto"/>
        <w:tabs>
          <w:tab w:leader="none" w:pos="81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will be exercisable more than 10 years from the Date of Grant (or 5 years from the Date of Grant in the case of Incentive Stock Options granted to a Ten Percent Stockholder). The Committee may provide in any Evidence of Award for the automatic exercise of an Option Right upon such terms and conditions as established by the Committee.</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not provide for any dividends or dividend equivalents thereon.</w:t>
      </w:r>
    </w:p>
    <w:p>
      <w:pPr>
        <w:spacing w:after="0" w:line="198" w:lineRule="exact"/>
        <w:rPr>
          <w:rFonts w:ascii="Times New Roman" w:cs="Times New Roman" w:eastAsia="Times New Roman" w:hAnsi="Times New Roman"/>
          <w:sz w:val="18"/>
          <w:szCs w:val="18"/>
          <w:color w:val="auto"/>
        </w:rPr>
      </w:pPr>
    </w:p>
    <w:p>
      <w:pPr>
        <w:ind w:left="820" w:right="20" w:hanging="488"/>
        <w:spacing w:after="0" w:line="360" w:lineRule="auto"/>
        <w:tabs>
          <w:tab w:leader="none" w:pos="81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Appreciation Rights.</w:t>
      </w:r>
    </w:p>
    <w:p>
      <w:pPr>
        <w:spacing w:after="0" w:line="202"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61" w:lineRule="exact"/>
        <w:rPr>
          <w:rFonts w:ascii="Times New Roman" w:cs="Times New Roman" w:eastAsia="Times New Roman" w:hAnsi="Times New Roman"/>
          <w:sz w:val="18"/>
          <w:szCs w:val="18"/>
          <w:color w:val="auto"/>
        </w:rPr>
      </w:pPr>
    </w:p>
    <w:p>
      <w:pPr>
        <w:ind w:left="820" w:hanging="488"/>
        <w:spacing w:after="0" w:line="376" w:lineRule="auto"/>
        <w:tabs>
          <w:tab w:leader="none" w:pos="81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may utilize any or all of the authorizations, and will be subject to all of the requirements, contained in the following provisions:</w:t>
      </w:r>
    </w:p>
    <w:p>
      <w:pPr>
        <w:spacing w:after="0" w:line="53" w:lineRule="exact"/>
        <w:rPr>
          <w:sz w:val="20"/>
          <w:szCs w:val="20"/>
          <w:color w:val="auto"/>
        </w:rPr>
      </w:pPr>
    </w:p>
    <w:p>
      <w:pPr>
        <w:ind w:left="1300" w:hanging="239"/>
        <w:spacing w:after="0" w:line="360"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shares of Common Stock or any combination thereof.</w:t>
      </w:r>
    </w:p>
    <w:p>
      <w:pPr>
        <w:spacing w:after="0" w:line="68" w:lineRule="exact"/>
        <w:rPr>
          <w:sz w:val="20"/>
          <w:szCs w:val="20"/>
          <w:color w:val="auto"/>
        </w:rPr>
      </w:pPr>
    </w:p>
    <w:p>
      <w:pPr>
        <w:ind w:left="1300" w:right="20" w:hanging="242"/>
        <w:spacing w:after="0" w:line="360" w:lineRule="auto"/>
        <w:rPr>
          <w:sz w:val="20"/>
          <w:szCs w:val="20"/>
          <w:color w:val="auto"/>
        </w:rPr>
      </w:pPr>
      <w:r>
        <w:rPr>
          <w:rFonts w:ascii="Times New Roman" w:cs="Times New Roman" w:eastAsia="Times New Roman" w:hAnsi="Times New Roman"/>
          <w:sz w:val="18"/>
          <w:szCs w:val="18"/>
          <w:color w:val="auto"/>
        </w:rPr>
        <w:t>(ii)Any grant may specify that the amount payable on exercise of an Appreciation Right may not exceed a maximum specified by the Committee on the Date of Grant.</w:t>
      </w:r>
    </w:p>
    <w:p>
      <w:pPr>
        <w:spacing w:after="0" w:line="68" w:lineRule="exact"/>
        <w:rPr>
          <w:sz w:val="20"/>
          <w:szCs w:val="20"/>
          <w:color w:val="auto"/>
        </w:rPr>
      </w:pPr>
    </w:p>
    <w:p>
      <w:pPr>
        <w:ind w:left="1960" w:hanging="899"/>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waiting periods before exercise and permissible exercise dates or periods.</w:t>
      </w:r>
    </w:p>
    <w:p>
      <w:pPr>
        <w:spacing w:after="0" w:line="184" w:lineRule="exact"/>
        <w:rPr>
          <w:rFonts w:ascii="Times New Roman" w:cs="Times New Roman" w:eastAsia="Times New Roman" w:hAnsi="Times New Roman"/>
          <w:sz w:val="18"/>
          <w:szCs w:val="18"/>
          <w:color w:val="auto"/>
        </w:rPr>
      </w:pPr>
    </w:p>
    <w:p>
      <w:pPr>
        <w:jc w:val="both"/>
        <w:ind w:left="1300" w:hanging="239"/>
        <w:spacing w:after="0" w:line="349"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become exercisable. Appreciation Rights may provide for continued vesting or the earlier exercise of such Appreciation Rights, including in the event of the retirement, death or Disability of a Participant, subject to the minimum vesting provisions of Section 3(d).</w:t>
      </w:r>
    </w:p>
    <w:p>
      <w:pPr>
        <w:spacing w:after="0" w:line="78" w:lineRule="exact"/>
        <w:rPr>
          <w:rFonts w:ascii="Times New Roman" w:cs="Times New Roman" w:eastAsia="Times New Roman" w:hAnsi="Times New Roman"/>
          <w:sz w:val="18"/>
          <w:szCs w:val="18"/>
          <w:color w:val="auto"/>
        </w:rPr>
      </w:pPr>
    </w:p>
    <w:p>
      <w:pPr>
        <w:ind w:left="1300" w:hanging="239"/>
        <w:spacing w:after="0" w:line="360"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that must (except as the Committee may otherwise provide) be achieved as a condition of the exercise of such Appreciation Rights.</w:t>
      </w:r>
    </w:p>
    <w:p>
      <w:pPr>
        <w:spacing w:after="0" w:line="67" w:lineRule="exact"/>
        <w:rPr>
          <w:rFonts w:ascii="Times New Roman" w:cs="Times New Roman" w:eastAsia="Times New Roman" w:hAnsi="Times New Roman"/>
          <w:sz w:val="18"/>
          <w:szCs w:val="18"/>
          <w:color w:val="auto"/>
        </w:rPr>
      </w:pPr>
    </w:p>
    <w:p>
      <w:pPr>
        <w:ind w:left="1940" w:hanging="879"/>
        <w:spacing w:after="0"/>
        <w:tabs>
          <w:tab w:leader="none" w:pos="1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198" w:lineRule="exact"/>
        <w:rPr>
          <w:rFonts w:ascii="Times New Roman" w:cs="Times New Roman" w:eastAsia="Times New Roman" w:hAnsi="Times New Roman"/>
          <w:sz w:val="18"/>
          <w:szCs w:val="18"/>
          <w:color w:val="auto"/>
        </w:rPr>
      </w:pPr>
    </w:p>
    <w:p>
      <w:pPr>
        <w:ind w:left="1300" w:hanging="239"/>
        <w:spacing w:after="0" w:line="360" w:lineRule="auto"/>
        <w:tabs>
          <w:tab w:leader="none" w:pos="19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of Appreciation Rights may be made to the same Participant regardless of whether any Appreciation Rights previously granted to the Participant remain unexercised.</w:t>
      </w:r>
    </w:p>
    <w:p>
      <w:pPr>
        <w:spacing w:after="0" w:line="67" w:lineRule="exact"/>
        <w:rPr>
          <w:rFonts w:ascii="Times New Roman" w:cs="Times New Roman" w:eastAsia="Times New Roman" w:hAnsi="Times New Roman"/>
          <w:sz w:val="18"/>
          <w:szCs w:val="18"/>
          <w:color w:val="auto"/>
        </w:rPr>
      </w:pPr>
    </w:p>
    <w:p>
      <w:pPr>
        <w:ind w:left="1300" w:hanging="239"/>
        <w:spacing w:after="0" w:line="360" w:lineRule="auto"/>
        <w:tabs>
          <w:tab w:leader="none" w:pos="1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ectPr>
          <w:pgSz w:w="11900" w:h="16838" w:orient="portrait"/>
          <w:cols w:equalWidth="0" w:num="1">
            <w:col w:w="11240"/>
          </w:cols>
          <w:pgMar w:left="320" w:top="10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regarding Appreciation Rights:</w:t>
      </w:r>
    </w:p>
    <w:p>
      <w:pPr>
        <w:spacing w:after="0" w:line="198" w:lineRule="exact"/>
        <w:rPr>
          <w:sz w:val="20"/>
          <w:szCs w:val="20"/>
          <w:color w:val="auto"/>
        </w:rPr>
      </w:pPr>
    </w:p>
    <w:p>
      <w:pPr>
        <w:ind w:left="1300" w:right="20" w:hanging="239"/>
        <w:spacing w:after="0" w:line="360" w:lineRule="auto"/>
        <w:tabs>
          <w:tab w:leader="none" w:pos="12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in respect of each Appreciation Right a Base Price, which (except with respect to awards under Section 22 of this Plan) may not be less than the Market Value per Share on the Date of Grant; and</w:t>
      </w:r>
    </w:p>
    <w:p>
      <w:pPr>
        <w:spacing w:after="0" w:line="68" w:lineRule="exact"/>
        <w:rPr>
          <w:sz w:val="20"/>
          <w:szCs w:val="20"/>
          <w:color w:val="auto"/>
        </w:rPr>
      </w:pPr>
    </w:p>
    <w:p>
      <w:pPr>
        <w:jc w:val="both"/>
        <w:ind w:left="1300" w:hanging="242"/>
        <w:spacing w:after="0" w:line="352" w:lineRule="auto"/>
        <w:rPr>
          <w:sz w:val="20"/>
          <w:szCs w:val="20"/>
          <w:color w:val="auto"/>
        </w:rPr>
      </w:pPr>
      <w:r>
        <w:rPr>
          <w:rFonts w:ascii="Times New Roman" w:cs="Times New Roman" w:eastAsia="Times New Roman" w:hAnsi="Times New Roman"/>
          <w:sz w:val="18"/>
          <w:szCs w:val="18"/>
          <w:color w:val="auto"/>
        </w:rPr>
        <w:t>(ii)No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71" w:lineRule="exact"/>
        <w:rPr>
          <w:sz w:val="20"/>
          <w:szCs w:val="20"/>
          <w:color w:val="auto"/>
        </w:rPr>
      </w:pPr>
    </w:p>
    <w:p>
      <w:pPr>
        <w:jc w:val="both"/>
        <w:ind w:left="340" w:hanging="332"/>
        <w:spacing w:after="0" w:line="3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Committee may, from time to time and upon such terms and conditions as it may determine, authorize the grant or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to Participants. Each such grant or sale may utilize any or all of the authorizations, and will be subject to all of the requirements, contained in the following provisions:</w:t>
      </w:r>
    </w:p>
    <w:p>
      <w:pPr>
        <w:spacing w:after="0" w:line="60" w:lineRule="exact"/>
        <w:rPr>
          <w:rFonts w:ascii="Times New Roman" w:cs="Times New Roman" w:eastAsia="Times New Roman" w:hAnsi="Times New Roman"/>
          <w:sz w:val="18"/>
          <w:szCs w:val="18"/>
          <w:color w:val="auto"/>
        </w:rPr>
      </w:pPr>
    </w:p>
    <w:p>
      <w:pPr>
        <w:jc w:val="both"/>
        <w:ind w:left="820" w:hanging="488"/>
        <w:spacing w:after="0" w:line="360" w:lineRule="auto"/>
        <w:tabs>
          <w:tab w:leader="none" w:pos="8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w:t>
      </w:r>
    </w:p>
    <w:p>
      <w:pPr>
        <w:spacing w:after="0" w:line="54" w:lineRule="exact"/>
        <w:rPr>
          <w:rFonts w:ascii="Times New Roman" w:cs="Times New Roman" w:eastAsia="Times New Roman" w:hAnsi="Times New Roman"/>
          <w:sz w:val="18"/>
          <w:szCs w:val="18"/>
          <w:color w:val="auto"/>
        </w:rPr>
      </w:pPr>
    </w:p>
    <w:p>
      <w:pPr>
        <w:ind w:left="820" w:hanging="488"/>
        <w:spacing w:after="0" w:line="376" w:lineRule="auto"/>
        <w:tabs>
          <w:tab w:leader="none" w:pos="8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39" w:lineRule="exact"/>
        <w:rPr>
          <w:rFonts w:ascii="Times New Roman" w:cs="Times New Roman" w:eastAsia="Times New Roman" w:hAnsi="Times New Roman"/>
          <w:sz w:val="18"/>
          <w:szCs w:val="18"/>
          <w:color w:val="auto"/>
        </w:rPr>
      </w:pPr>
    </w:p>
    <w:p>
      <w:pPr>
        <w:jc w:val="both"/>
        <w:ind w:left="820" w:right="20" w:hanging="488"/>
        <w:spacing w:after="0" w:line="360" w:lineRule="auto"/>
        <w:tabs>
          <w:tab w:leader="none" w:pos="8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Section 6(e) of this Plan (except as the Committee may otherwise provide).</w:t>
      </w:r>
    </w:p>
    <w:p>
      <w:pPr>
        <w:spacing w:after="0" w:line="54"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65" w:lineRule="exact"/>
        <w:rPr>
          <w:rFonts w:ascii="Times New Roman" w:cs="Times New Roman" w:eastAsia="Times New Roman" w:hAnsi="Times New Roman"/>
          <w:sz w:val="18"/>
          <w:szCs w:val="18"/>
          <w:color w:val="auto"/>
        </w:rPr>
      </w:pPr>
    </w:p>
    <w:p>
      <w:pPr>
        <w:ind w:left="820" w:right="20" w:hanging="488"/>
        <w:spacing w:after="0" w:line="376" w:lineRule="auto"/>
        <w:tabs>
          <w:tab w:leader="none" w:pos="8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Restricted Stock may specify Management Objectives that, if achieved, will result in termination or early termination of the restrictions applicable to such Restricted Stock.</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may provide for continued vesting or the earlier termination of restrictions on such Restricted Stock, including in the event of the retirement, death or Disability of a Participant, subject to the minimum vesting provisions of Section 3(d).</w:t>
      </w:r>
    </w:p>
    <w:p>
      <w:pPr>
        <w:spacing w:after="0" w:line="61"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grant or sale of Restricted Stock will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ectPr>
          <w:pgSz w:w="11900" w:h="16838" w:orient="portrait"/>
          <w:cols w:equalWidth="0" w:num="1">
            <w:col w:w="11240"/>
          </w:cols>
          <w:pgMar w:left="320" w:top="10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hanging="488"/>
        <w:spacing w:after="0" w:line="336" w:lineRule="auto"/>
        <w:tabs>
          <w:tab w:leader="none" w:pos="8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w:t>
      </w:r>
    </w:p>
    <w:p>
      <w:pPr>
        <w:spacing w:after="0" w:line="1" w:lineRule="exact"/>
        <w:rPr>
          <w:rFonts w:ascii="Times New Roman" w:cs="Times New Roman" w:eastAsia="Times New Roman" w:hAnsi="Times New Roman"/>
          <w:sz w:val="18"/>
          <w:szCs w:val="18"/>
          <w:color w:val="auto"/>
        </w:rPr>
      </w:pPr>
    </w:p>
    <w:p>
      <w:pPr>
        <w:ind w:left="820" w:right="20" w:hanging="2"/>
        <w:spacing w:after="0" w:line="376" w:lineRule="auto"/>
        <w:tabs>
          <w:tab w:leader="none" w:pos="109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will be held at the Company’s transfer agent in book entry form with appropriate restrictions relating to the transfer of such Restricted Stock.</w:t>
      </w:r>
    </w:p>
    <w:p>
      <w:pPr>
        <w:spacing w:after="0" w:line="49" w:lineRule="exact"/>
        <w:rPr>
          <w:rFonts w:ascii="Times New Roman" w:cs="Times New Roman" w:eastAsia="Times New Roman" w:hAnsi="Times New Roman"/>
          <w:sz w:val="18"/>
          <w:szCs w:val="18"/>
          <w:color w:val="auto"/>
        </w:rPr>
      </w:pPr>
    </w:p>
    <w:p>
      <w:pPr>
        <w:jc w:val="both"/>
        <w:ind w:left="340" w:hanging="332"/>
        <w:spacing w:after="0" w:line="3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The Committee may, from time to time and upon such terms and conditions as it may determine, authorize the granting or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Restricted Stock Units to Participants. Each such grant or sale may utilize any or all of the authorizations, and will be subject to all of the requirements, contained in the following provisions:</w:t>
      </w:r>
    </w:p>
    <w:p>
      <w:pPr>
        <w:spacing w:after="0" w:line="60" w:lineRule="exact"/>
        <w:rPr>
          <w:rFonts w:ascii="Times New Roman" w:cs="Times New Roman" w:eastAsia="Times New Roman" w:hAnsi="Times New Roman"/>
          <w:sz w:val="18"/>
          <w:szCs w:val="18"/>
          <w:color w:val="auto"/>
        </w:rPr>
      </w:pPr>
    </w:p>
    <w:p>
      <w:pPr>
        <w:jc w:val="both"/>
        <w:ind w:left="820" w:hanging="488"/>
        <w:spacing w:after="0" w:line="360" w:lineRule="auto"/>
        <w:tabs>
          <w:tab w:leader="none" w:pos="8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spacing w:after="0" w:line="54" w:lineRule="exact"/>
        <w:rPr>
          <w:rFonts w:ascii="Times New Roman" w:cs="Times New Roman" w:eastAsia="Times New Roman" w:hAnsi="Times New Roman"/>
          <w:sz w:val="18"/>
          <w:szCs w:val="18"/>
          <w:color w:val="auto"/>
        </w:rPr>
      </w:pPr>
    </w:p>
    <w:p>
      <w:pPr>
        <w:ind w:left="820" w:hanging="488"/>
        <w:spacing w:after="0" w:line="376" w:lineRule="auto"/>
        <w:tabs>
          <w:tab w:leader="none" w:pos="8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39" w:lineRule="exact"/>
        <w:rPr>
          <w:rFonts w:ascii="Times New Roman" w:cs="Times New Roman" w:eastAsia="Times New Roman" w:hAnsi="Times New Roman"/>
          <w:sz w:val="18"/>
          <w:szCs w:val="18"/>
          <w:color w:val="auto"/>
        </w:rPr>
      </w:pPr>
    </w:p>
    <w:p>
      <w:pPr>
        <w:jc w:val="both"/>
        <w:ind w:left="820" w:hanging="488"/>
        <w:spacing w:after="0" w:line="360" w:lineRule="auto"/>
        <w:tabs>
          <w:tab w:leader="none" w:pos="8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or Disability of a Participant, subject to the minimum vesting provisions of Section 3(d).</w:t>
      </w:r>
    </w:p>
    <w:p>
      <w:pPr>
        <w:spacing w:after="0" w:line="54"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crediting of dividend equivalents on such Restricted Stock Units on a deferred and contingent basis and/or the deemed reinvestment of dividend equivalents in additional Restricted Stock Units, payable, either in cash or in additional shares of Common Stock; provided, however, that dividend equivalents or other distributions on shares of Common Stock underlying Restricted Stock Units will be deferred until and paid contingent upon the vesting of such Restricted Stock Units (and will be forfeited to the extent such underlying Restricted Stock Units are forfeited).</w:t>
      </w:r>
    </w:p>
    <w:p>
      <w:pPr>
        <w:spacing w:after="0" w:line="69"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74" w:lineRule="exact"/>
        <w:rPr>
          <w:rFonts w:ascii="Times New Roman" w:cs="Times New Roman" w:eastAsia="Times New Roman" w:hAnsi="Times New Roman"/>
          <w:sz w:val="18"/>
          <w:szCs w:val="18"/>
          <w:color w:val="auto"/>
        </w:rPr>
      </w:pPr>
    </w:p>
    <w:p>
      <w:pPr>
        <w:ind w:left="820" w:hanging="488"/>
        <w:spacing w:after="0" w:line="376" w:lineRule="auto"/>
        <w:tabs>
          <w:tab w:leader="none" w:pos="8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35" w:lineRule="exact"/>
        <w:rPr>
          <w:rFonts w:ascii="Times New Roman" w:cs="Times New Roman" w:eastAsia="Times New Roman" w:hAnsi="Times New Roman"/>
          <w:sz w:val="18"/>
          <w:szCs w:val="18"/>
          <w:color w:val="auto"/>
        </w:rPr>
      </w:pPr>
    </w:p>
    <w:p>
      <w:pPr>
        <w:ind w:left="340" w:right="20" w:hanging="332"/>
        <w:spacing w:after="0" w:line="38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Incentive Awards, Performance Shares and Performance Units. </w:t>
      </w:r>
      <w:r>
        <w:rPr>
          <w:rFonts w:ascii="Times New Roman" w:cs="Times New Roman" w:eastAsia="Times New Roman" w:hAnsi="Times New Roman"/>
          <w:sz w:val="18"/>
          <w:szCs w:val="18"/>
          <w:color w:val="auto"/>
        </w:rPr>
        <w:t>The Committee may, from time to time and upon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determine, authorize the granting of Cash Incentive Awards, Performance</w:t>
      </w:r>
    </w:p>
    <w:p>
      <w:pPr>
        <w:sectPr>
          <w:pgSz w:w="11900" w:h="16838" w:orient="portrait"/>
          <w:cols w:equalWidth="0" w:num="1">
            <w:col w:w="11240"/>
          </w:cols>
          <w:pgMar w:left="320" w:top="104" w:right="339" w:bottom="1440" w:gutter="0" w:footer="0" w:header="0"/>
        </w:sectPr>
      </w:pPr>
    </w:p>
    <w:bookmarkStart w:id="14" w:name="page15"/>
    <w:bookmarkEnd w:id="14"/>
    <w:p>
      <w:pPr>
        <w:ind w:left="10112"/>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
        <w:spacing w:after="0" w:line="376" w:lineRule="auto"/>
        <w:rPr>
          <w:sz w:val="20"/>
          <w:szCs w:val="20"/>
          <w:color w:val="auto"/>
        </w:rPr>
      </w:pPr>
      <w:r>
        <w:rPr>
          <w:rFonts w:ascii="Times New Roman" w:cs="Times New Roman" w:eastAsia="Times New Roman" w:hAnsi="Times New Roman"/>
          <w:sz w:val="18"/>
          <w:szCs w:val="18"/>
          <w:color w:val="auto"/>
        </w:rPr>
        <w:t>Shares and Performance Units. Each such grant may utilize any or all of the authorizations, and will be subject to all of the requirements, contained in the following provisions:</w:t>
      </w:r>
    </w:p>
    <w:p>
      <w:pPr>
        <w:spacing w:after="0" w:line="40" w:lineRule="exact"/>
        <w:rPr>
          <w:sz w:val="20"/>
          <w:szCs w:val="20"/>
          <w:color w:val="auto"/>
        </w:rPr>
      </w:pPr>
    </w:p>
    <w:p>
      <w:pPr>
        <w:ind w:left="812" w:hanging="488"/>
        <w:spacing w:after="0" w:line="376" w:lineRule="auto"/>
        <w:tabs>
          <w:tab w:leader="none" w:pos="8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39" w:lineRule="exact"/>
        <w:rPr>
          <w:rFonts w:ascii="Times New Roman" w:cs="Times New Roman" w:eastAsia="Times New Roman" w:hAnsi="Times New Roman"/>
          <w:sz w:val="18"/>
          <w:szCs w:val="18"/>
          <w:color w:val="auto"/>
        </w:rPr>
      </w:pPr>
    </w:p>
    <w:p>
      <w:pPr>
        <w:jc w:val="both"/>
        <w:ind w:left="812" w:hanging="488"/>
        <w:spacing w:after="0" w:line="360" w:lineRule="auto"/>
        <w:tabs>
          <w:tab w:leader="none" w:pos="8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or Disability of a Participant, subject to the minimum vesting provisions of Section 3(d).</w:t>
      </w:r>
    </w:p>
    <w:p>
      <w:pPr>
        <w:spacing w:after="0" w:line="54" w:lineRule="exact"/>
        <w:rPr>
          <w:rFonts w:ascii="Times New Roman" w:cs="Times New Roman" w:eastAsia="Times New Roman" w:hAnsi="Times New Roman"/>
          <w:sz w:val="18"/>
          <w:szCs w:val="18"/>
          <w:color w:val="auto"/>
        </w:rPr>
      </w:pPr>
    </w:p>
    <w:p>
      <w:pPr>
        <w:jc w:val="both"/>
        <w:ind w:left="812" w:hanging="488"/>
        <w:spacing w:after="0" w:line="348" w:lineRule="auto"/>
        <w:tabs>
          <w:tab w:leader="none" w:pos="8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 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w:t>
      </w:r>
    </w:p>
    <w:p>
      <w:pPr>
        <w:spacing w:after="0" w:line="65" w:lineRule="exact"/>
        <w:rPr>
          <w:rFonts w:ascii="Times New Roman" w:cs="Times New Roman" w:eastAsia="Times New Roman" w:hAnsi="Times New Roman"/>
          <w:sz w:val="18"/>
          <w:szCs w:val="18"/>
          <w:color w:val="auto"/>
        </w:rPr>
      </w:pPr>
    </w:p>
    <w:p>
      <w:pPr>
        <w:jc w:val="both"/>
        <w:ind w:left="812" w:hanging="488"/>
        <w:spacing w:after="0" w:line="352" w:lineRule="auto"/>
        <w:tabs>
          <w:tab w:leader="none" w:pos="8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w:t>
      </w:r>
    </w:p>
    <w:p>
      <w:pPr>
        <w:spacing w:after="0" w:line="74" w:lineRule="exact"/>
        <w:rPr>
          <w:rFonts w:ascii="Times New Roman" w:cs="Times New Roman" w:eastAsia="Times New Roman" w:hAnsi="Times New Roman"/>
          <w:sz w:val="18"/>
          <w:szCs w:val="18"/>
          <w:color w:val="auto"/>
        </w:rPr>
      </w:pPr>
    </w:p>
    <w:p>
      <w:pPr>
        <w:jc w:val="both"/>
        <w:ind w:left="812" w:hanging="488"/>
        <w:spacing w:after="0" w:line="352" w:lineRule="auto"/>
        <w:tabs>
          <w:tab w:leader="none" w:pos="80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 Cash Incentive Award, Performance Shares or Performance Units may specify that the amount payable or the number of shares of Common Stock, Restricted Stock or Restricted Stock Units payable with respect thereto may not exceed a maximum specified by the Committee on the Date of Grant.</w:t>
      </w:r>
    </w:p>
    <w:p>
      <w:pPr>
        <w:spacing w:after="0" w:line="74" w:lineRule="exact"/>
        <w:rPr>
          <w:rFonts w:ascii="Times New Roman" w:cs="Times New Roman" w:eastAsia="Times New Roman" w:hAnsi="Times New Roman"/>
          <w:sz w:val="18"/>
          <w:szCs w:val="18"/>
          <w:color w:val="auto"/>
        </w:rPr>
      </w:pPr>
    </w:p>
    <w:p>
      <w:pPr>
        <w:jc w:val="both"/>
        <w:ind w:left="812" w:hanging="488"/>
        <w:spacing w:after="0" w:line="344" w:lineRule="auto"/>
        <w:tabs>
          <w:tab w:leader="none" w:pos="8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on the Date of Grant of Performance Shares or Performance Units, provide for the crediting of dividend equivalents to the holder thereof either in cash or in additional shares of Common Stock and/or the deemed reinvestment of dividend equivalents in additional Performance Shares or Performance Units, subject in all cases to deferral and payment on a contingent basis based on the Participant’s earning of the Performance Shares or Performance Units, as applicable, with respect to which such dividend equivalents are paid (and will be forfeited to the extent the underlying Performance Shares or Performance Units are forfeited).</w:t>
      </w:r>
    </w:p>
    <w:p>
      <w:pPr>
        <w:spacing w:after="0" w:line="82" w:lineRule="exact"/>
        <w:rPr>
          <w:rFonts w:ascii="Times New Roman" w:cs="Times New Roman" w:eastAsia="Times New Roman" w:hAnsi="Times New Roman"/>
          <w:sz w:val="18"/>
          <w:szCs w:val="18"/>
          <w:color w:val="auto"/>
        </w:rPr>
      </w:pPr>
    </w:p>
    <w:p>
      <w:pPr>
        <w:ind w:left="812" w:hanging="488"/>
        <w:spacing w:after="0" w:line="360" w:lineRule="auto"/>
        <w:tabs>
          <w:tab w:leader="none" w:pos="8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6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188" w:lineRule="exact"/>
        <w:rPr>
          <w:rFonts w:ascii="Times New Roman" w:cs="Times New Roman" w:eastAsia="Times New Roman" w:hAnsi="Times New Roman"/>
          <w:sz w:val="18"/>
          <w:szCs w:val="18"/>
          <w:color w:val="auto"/>
        </w:rPr>
      </w:pPr>
    </w:p>
    <w:p>
      <w:pPr>
        <w:jc w:val="both"/>
        <w:ind w:left="812" w:hanging="488"/>
        <w:spacing w:after="0" w:line="360" w:lineRule="auto"/>
        <w:tabs>
          <w:tab w:leader="none" w:pos="8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applicable limits set forth in Section 3 of this Plan, the Committee may authorize the grant to any Participant of shares of Common Stock or such other awards that may be denominated or payable in, valued in whole or in part by reference to, or otherwise based on, or related to, shares of Common</w:t>
      </w:r>
    </w:p>
    <w:p>
      <w:pPr>
        <w:sectPr>
          <w:pgSz w:w="11900" w:h="16838" w:orient="portrait"/>
          <w:cols w:equalWidth="0" w:num="1">
            <w:col w:w="11232"/>
          </w:cols>
          <w:pgMar w:left="328" w:top="10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spacing w:after="0" w:line="342" w:lineRule="auto"/>
        <w:rPr>
          <w:sz w:val="20"/>
          <w:szCs w:val="20"/>
          <w:color w:val="auto"/>
        </w:rPr>
      </w:pPr>
      <w:r>
        <w:rPr>
          <w:rFonts w:ascii="Times New Roman" w:cs="Times New Roman" w:eastAsia="Times New Roman" w:hAnsi="Times New Roman"/>
          <w:sz w:val="18"/>
          <w:szCs w:val="18"/>
          <w:color w:val="auto"/>
        </w:rPr>
        <w:t>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Section 9 will be purchased for such consideration, paid for at such time, by such methods, and in such forms, including, without limitation, shares of Common Stock, other awards, notes or other property, as the Committee determines.</w:t>
      </w:r>
    </w:p>
    <w:p>
      <w:pPr>
        <w:spacing w:after="0" w:line="84" w:lineRule="exact"/>
        <w:rPr>
          <w:sz w:val="20"/>
          <w:szCs w:val="20"/>
          <w:color w:val="auto"/>
        </w:rPr>
      </w:pPr>
    </w:p>
    <w:p>
      <w:pPr>
        <w:ind w:left="820" w:hanging="488"/>
        <w:spacing w:after="0"/>
        <w:tabs>
          <w:tab w:leader="none" w:pos="8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as an element of or supplement to any other award granted under this Plan, may also be granted pursuant to this Section 9.</w:t>
      </w:r>
    </w:p>
    <w:p>
      <w:pPr>
        <w:spacing w:after="0" w:line="184"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authorize the grant of fully vested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 and subject to the minimum vesting provisions of Section 3(d).</w:t>
      </w:r>
    </w:p>
    <w:p>
      <w:pPr>
        <w:spacing w:after="0" w:line="78"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at or after the Date of Grant, authorize the crediting of dividends or dividend equivalents on awards granted under this Section 9 on a deferred and contingent basis and/or the deemed reinvestment of dividend equivalents in additional awards, payable, either in cash or in additional shares of Common Stock; provided, however, that dividend equivalents or other distributions on shares of Common Stock underlying awards granted under this Section 9 will be deferred until and paid contingent upon the earning of such awards (and will be forfeited to the extent the applicable requirements for payment of the underlying awards are not satisfied).</w:t>
      </w:r>
    </w:p>
    <w:p>
      <w:pPr>
        <w:spacing w:after="0" w:line="82"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awards under this Section 9 may provide for the earning or vesting of, or earlier elimination of restrictions applicable to, such award, including in the event of the retirement, death or Disability of a Participant, subject to the minimum vesting provisions of Section 3(d).</w:t>
      </w:r>
    </w:p>
    <w:p>
      <w:pPr>
        <w:spacing w:after="0" w:line="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Plan.</w:t>
      </w:r>
    </w:p>
    <w:p>
      <w:pPr>
        <w:spacing w:after="0" w:line="202" w:lineRule="exact"/>
        <w:rPr>
          <w:rFonts w:ascii="Times New Roman" w:cs="Times New Roman" w:eastAsia="Times New Roman" w:hAnsi="Times New Roman"/>
          <w:sz w:val="18"/>
          <w:szCs w:val="18"/>
          <w:color w:val="auto"/>
        </w:rPr>
      </w:pPr>
    </w:p>
    <w:p>
      <w:pPr>
        <w:jc w:val="both"/>
        <w:ind w:left="820" w:hanging="488"/>
        <w:spacing w:after="0" w:line="342" w:lineRule="auto"/>
        <w:tabs>
          <w:tab w:leader="none" w:pos="8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be administered by the Committee. Subject to the express share limits and provisions of this Plan (including the minimum vesting provisions of Section 3(d), the Committee is authorized to do all things necessary or desirable in connection with the authorization of awards and the administration of this Plan, including, without limitation (but subject to the express share limits and provisions of this Plan), the authority to (i) determine the persons eligible to receive awards under this Plan; (ii) grant awards to such persons, determine the price (if any) at which securities will be offered or awarded and the number of securities to be offered or awarded to any of such persons (in the case of securities-based awards), determine the other specific terms and conditions of awards (including any vesting or exercisability requirements as to such awards or that no delayed exercisability or vesting is required), establish the events (if any) on which vesting or exercisability may accelerate (which may include,</w:t>
      </w:r>
    </w:p>
    <w:p>
      <w:pPr>
        <w:sectPr>
          <w:pgSz w:w="11900" w:h="16838" w:orient="portrait"/>
          <w:cols w:equalWidth="0" w:num="1">
            <w:col w:w="11240"/>
          </w:cols>
          <w:pgMar w:left="320" w:top="104"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spacing w:after="0" w:line="341" w:lineRule="auto"/>
        <w:rPr>
          <w:sz w:val="20"/>
          <w:szCs w:val="20"/>
          <w:color w:val="auto"/>
        </w:rPr>
      </w:pPr>
      <w:r>
        <w:rPr>
          <w:rFonts w:ascii="Times New Roman" w:cs="Times New Roman" w:eastAsia="Times New Roman" w:hAnsi="Times New Roman"/>
          <w:sz w:val="18"/>
          <w:szCs w:val="18"/>
          <w:color w:val="auto"/>
        </w:rPr>
        <w:t>without limitation, specified terminations of employment or services or other circumstances), and establish the events (if any) of termination, expiration or reversion of such awards; (iii) construe and interpret this Plan and any agreements defining the rights and obligations of the Company, its Subsidiaries, and participants under this Plan, make any and all determinations under this Plan and any such agreements, correct any defect, supply any omission, or reconcile any inconsistency in this Plan and any agreements, and prescribe, amend and rescind rules and regulations relating to the administration of this Plan or the awards granted under this Plan; (iv) cancel, modify, or waive the Corporation’s rights with respect to, or modify, discontinue, suspend, or terminate any or all outstanding awards, subject to any required consent under Section 18(d); or (v) accelerate, waive or extend the vesting or exercisability, or modify or extend the term of, any or all such outstanding awards in such circumstances as the Committee may determine to be appropriate. The Committee may from time to time delegate all or any part of its authority under this Plan to a subcommittee thereof. To the extent of any such delegation, references in this Plan to the Committee will be deemed to be references to such subcommittee to the extent of such delegated authority. The Board may also assume administration of this Plan or certain portions of this Plan, in which case references in this Plan to the Committee will be deemed to be referenced to the Board to the extent the Board has assumed administration of such aspect of this Plan.</w:t>
      </w:r>
    </w:p>
    <w:p>
      <w:pPr>
        <w:spacing w:after="0" w:line="75" w:lineRule="exact"/>
        <w:rPr>
          <w:sz w:val="20"/>
          <w:szCs w:val="20"/>
          <w:color w:val="auto"/>
        </w:rPr>
      </w:pPr>
    </w:p>
    <w:p>
      <w:pPr>
        <w:jc w:val="both"/>
        <w:ind w:left="820" w:hanging="488"/>
        <w:spacing w:after="0" w:line="344" w:lineRule="auto"/>
        <w:tabs>
          <w:tab w:leader="none" w:pos="8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binding on all persons. No member of the Committee, the Board or any subcommittee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82" w:lineRule="exact"/>
        <w:rPr>
          <w:rFonts w:ascii="Times New Roman" w:cs="Times New Roman" w:eastAsia="Times New Roman" w:hAnsi="Times New Roman"/>
          <w:sz w:val="18"/>
          <w:szCs w:val="18"/>
          <w:color w:val="auto"/>
        </w:rPr>
      </w:pPr>
    </w:p>
    <w:p>
      <w:pPr>
        <w:jc w:val="both"/>
        <w:ind w:left="820" w:hanging="488"/>
        <w:spacing w:after="0" w:line="341" w:lineRule="auto"/>
        <w:tabs>
          <w:tab w:leader="none" w:pos="8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No individual to whom such delegation has been made shall be liable for any action or determination made in good faith pursuant to such delegation. The Committee may, by resolution, authorize one or more officers of the Company to do one or both of the following on the same basis as the Committee: (i) designate employees to be recipients of awards under this Plan; and (ii) determine the size of any such awards; provided, however, that (A) the Committee will not delegate such responsibilities to any such officer for awards granted to an employee who is an officer, Director, Ten Percent Stockholder,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68" w:lineRule="exact"/>
        <w:rPr>
          <w:rFonts w:ascii="Times New Roman" w:cs="Times New Roman" w:eastAsia="Times New Roman" w:hAnsi="Times New Roman"/>
          <w:sz w:val="18"/>
          <w:szCs w:val="18"/>
          <w:color w:val="auto"/>
        </w:rPr>
      </w:pPr>
    </w:p>
    <w:p>
      <w:pPr>
        <w:ind w:left="340" w:right="20" w:hanging="332"/>
        <w:spacing w:after="0" w:line="380" w:lineRule="auto"/>
        <w:tabs>
          <w:tab w:leader="none" w:pos="3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Committee shall make or provide for such adjustments in the number of and kind of shares of Common Stock covered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Option Rights, Appreciation Rights, Restricted Stock, Restricted Stock Units,</w:t>
      </w:r>
    </w:p>
    <w:p>
      <w:pPr>
        <w:sectPr>
          <w:pgSz w:w="11900" w:h="16838" w:orient="portrait"/>
          <w:cols w:equalWidth="0" w:num="1">
            <w:col w:w="11240"/>
          </w:cols>
          <w:pgMar w:left="320" w:top="10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spacing w:after="0" w:line="339" w:lineRule="auto"/>
        <w:rPr>
          <w:sz w:val="20"/>
          <w:szCs w:val="20"/>
          <w:color w:val="auto"/>
        </w:rPr>
      </w:pPr>
      <w:r>
        <w:rPr>
          <w:rFonts w:ascii="Times New Roman" w:cs="Times New Roman" w:eastAsia="Times New Roman" w:hAnsi="Times New Roman"/>
          <w:sz w:val="18"/>
          <w:szCs w:val="18"/>
          <w:color w:val="auto"/>
        </w:rPr>
        <w:t>Performance Shares and Performance Units granted hereunder and, if applicable, in the number of and kind of shares of Common Stock covered by other awards granted pursuant to Section 9 of this Plan, in the Option Price and Base Price provided in outstanding Option Rights and Appreciation Rights, respectively, in Cash Incentive Awards, and in other award terms, as the Committee, in its sole discretion, exercised in good faith, determines are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Section 3 of this Plan as the Committee in its sole discretion, exercised in good faith, determines is appropriate to reflect any transaction or event described in this Section 11; provided, however, that any such adjustment to the number specified in Section 3(c) of this Plan will be made only if and to the extent that such adjustment would not cause any Option Right intended to qualify as an Incentive Stock Option to fail to so qualify. With respect to awards of Incentive Stock Options, no adjustment may be authorized to the extent that such authority would cause this Plan to violate Code Section 422(b). In any event, previously granted Option Rights or Appreciation Rights shall be subject only to such adjustments as are necessary to maintain the relative proportionate interest the Option Rights and Appreciation Rights represented immediately prior to any such event and to preserve, without exceeding, the value of such Option Rights or Appreciation Rights.</w:t>
      </w:r>
    </w:p>
    <w:p>
      <w:pPr>
        <w:spacing w:after="0" w:line="89"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and Effect of a Change in Control.</w:t>
      </w:r>
    </w:p>
    <w:p>
      <w:pPr>
        <w:spacing w:after="0" w:line="188" w:lineRule="exact"/>
        <w:rPr>
          <w:rFonts w:ascii="Times New Roman" w:cs="Times New Roman" w:eastAsia="Times New Roman" w:hAnsi="Times New Roman"/>
          <w:sz w:val="18"/>
          <w:szCs w:val="18"/>
          <w:color w:val="auto"/>
        </w:rPr>
      </w:pPr>
    </w:p>
    <w:p>
      <w:pPr>
        <w:ind w:left="820" w:right="20" w:hanging="488"/>
        <w:spacing w:after="0" w:line="376" w:lineRule="auto"/>
        <w:tabs>
          <w:tab w:leader="none" w:pos="81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except as may be otherwise prescribed by the Committee in an Evidence of Award made under this Plan, a “Change in Control” will be deemed to have occurred upon the occurrence (after the Effective Date) of any of the following events:</w:t>
      </w:r>
    </w:p>
    <w:p>
      <w:pPr>
        <w:spacing w:after="0" w:line="53" w:lineRule="exact"/>
        <w:rPr>
          <w:sz w:val="20"/>
          <w:szCs w:val="20"/>
          <w:color w:val="auto"/>
        </w:rPr>
      </w:pPr>
    </w:p>
    <w:p>
      <w:pPr>
        <w:jc w:val="both"/>
        <w:ind w:left="1300" w:hanging="239"/>
        <w:spacing w:after="0" w:line="352" w:lineRule="auto"/>
        <w:tabs>
          <w:tab w:leader="none" w:pos="12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of a nature that would be required to be reported in response to Item 6(e) of Schedule 14A of Regulation 14A promulgated under the Exchange Act, or if Item 6(e) is no longer in effect, any regulations issued by the Securities and Exchange Commission pursuant to the Exchange Act which serve similar purposes;</w:t>
      </w:r>
    </w:p>
    <w:p>
      <w:pPr>
        <w:spacing w:after="0" w:line="61" w:lineRule="exact"/>
        <w:rPr>
          <w:sz w:val="20"/>
          <w:szCs w:val="20"/>
          <w:color w:val="auto"/>
        </w:rPr>
      </w:pPr>
    </w:p>
    <w:p>
      <w:pPr>
        <w:jc w:val="both"/>
        <w:ind w:left="1300" w:hanging="242"/>
        <w:spacing w:after="0" w:line="349" w:lineRule="auto"/>
        <w:rPr>
          <w:sz w:val="20"/>
          <w:szCs w:val="20"/>
          <w:color w:val="auto"/>
        </w:rPr>
      </w:pPr>
      <w:r>
        <w:rPr>
          <w:rFonts w:ascii="Times New Roman" w:cs="Times New Roman" w:eastAsia="Times New Roman" w:hAnsi="Times New Roman"/>
          <w:sz w:val="18"/>
          <w:szCs w:val="18"/>
          <w:color w:val="auto"/>
        </w:rPr>
        <w:t>(ii)the following individuals no longer constitute a majority of the members of the Board: (1) the individuals who, as of the Effective Date, constitute the Board (the “Current Directors”); (2) the individuals who thereafter are elected to the Board and whose election, or nomination for election, to the Board was approved by a vote of a majority of all of the Current Directors then still in office (such directors becoming “Additional Directors” immediately following their election); and (3) the individuals who are elected to the</w:t>
      </w:r>
    </w:p>
    <w:p>
      <w:pPr>
        <w:sectPr>
          <w:pgSz w:w="11900" w:h="16838" w:orient="portrait"/>
          <w:cols w:equalWidth="0" w:num="1">
            <w:col w:w="11240"/>
          </w:cols>
          <w:pgMar w:left="320" w:top="10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968" w:right="20"/>
        <w:spacing w:after="0" w:line="376" w:lineRule="auto"/>
        <w:rPr>
          <w:sz w:val="20"/>
          <w:szCs w:val="20"/>
          <w:color w:val="auto"/>
        </w:rPr>
      </w:pPr>
      <w:r>
        <w:rPr>
          <w:rFonts w:ascii="Times New Roman" w:cs="Times New Roman" w:eastAsia="Times New Roman" w:hAnsi="Times New Roman"/>
          <w:sz w:val="18"/>
          <w:szCs w:val="18"/>
          <w:color w:val="auto"/>
        </w:rPr>
        <w:t>Board and whose election, or nomination for election, to the Board was approved by a vote of a majority of all of the Current Directors and Additional Directors then still in office (such directors also becoming “Additional Directors” immediately following their election);</w:t>
      </w:r>
    </w:p>
    <w:p>
      <w:pPr>
        <w:spacing w:after="0" w:line="40" w:lineRule="exact"/>
        <w:rPr>
          <w:sz w:val="20"/>
          <w:szCs w:val="20"/>
          <w:color w:val="auto"/>
        </w:rPr>
      </w:pPr>
    </w:p>
    <w:p>
      <w:pPr>
        <w:jc w:val="both"/>
        <w:ind w:left="968" w:hanging="239"/>
        <w:spacing w:after="0" w:line="352" w:lineRule="auto"/>
        <w:tabs>
          <w:tab w:leader="none" w:pos="16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w:t>
      </w:r>
    </w:p>
    <w:p>
      <w:pPr>
        <w:spacing w:after="0" w:line="74" w:lineRule="exact"/>
        <w:rPr>
          <w:rFonts w:ascii="Times New Roman" w:cs="Times New Roman" w:eastAsia="Times New Roman" w:hAnsi="Times New Roman"/>
          <w:sz w:val="18"/>
          <w:szCs w:val="18"/>
          <w:color w:val="auto"/>
        </w:rPr>
      </w:pPr>
    </w:p>
    <w:p>
      <w:pPr>
        <w:jc w:val="both"/>
        <w:ind w:left="968" w:hanging="239"/>
        <w:spacing w:after="0" w:line="344" w:lineRule="auto"/>
        <w:tabs>
          <w:tab w:leader="none" w:pos="16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approved by the Stockholders of a merger, consolidation, recapitalization, or reorganization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82" w:lineRule="exact"/>
        <w:rPr>
          <w:rFonts w:ascii="Times New Roman" w:cs="Times New Roman" w:eastAsia="Times New Roman" w:hAnsi="Times New Roman"/>
          <w:sz w:val="18"/>
          <w:szCs w:val="18"/>
          <w:color w:val="auto"/>
        </w:rPr>
      </w:pPr>
    </w:p>
    <w:p>
      <w:pPr>
        <w:jc w:val="both"/>
        <w:ind w:left="968" w:hanging="239"/>
        <w:spacing w:after="0" w:line="352" w:lineRule="auto"/>
        <w:tabs>
          <w:tab w:leader="none" w:pos="9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approved by the Stockholders of a plan of complete liquidation 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61" w:lineRule="exact"/>
        <w:rPr>
          <w:rFonts w:ascii="Times New Roman" w:cs="Times New Roman" w:eastAsia="Times New Roman" w:hAnsi="Times New Roman"/>
          <w:sz w:val="18"/>
          <w:szCs w:val="18"/>
          <w:color w:val="auto"/>
        </w:rPr>
      </w:pPr>
    </w:p>
    <w:p>
      <w:pPr>
        <w:jc w:val="both"/>
        <w:ind w:left="968" w:hanging="239"/>
        <w:spacing w:after="0" w:line="360" w:lineRule="auto"/>
        <w:tabs>
          <w:tab w:leader="none" w:pos="16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that term is used in Sections 13(d) and 14(d) of the Exchange Act) is or becomes the “beneficial owner” (as defined in Rule 13d-3 of the Exchange Act), directly or indirectly of more than 50% of the total voting power represented by the Company’s then outstanding voting securities.</w:t>
      </w:r>
    </w:p>
    <w:p>
      <w:pPr>
        <w:spacing w:after="0" w:line="54" w:lineRule="exact"/>
        <w:rPr>
          <w:rFonts w:ascii="Times New Roman" w:cs="Times New Roman" w:eastAsia="Times New Roman" w:hAnsi="Times New Roman"/>
          <w:sz w:val="18"/>
          <w:szCs w:val="18"/>
          <w:color w:val="auto"/>
        </w:rPr>
      </w:pPr>
    </w:p>
    <w:p>
      <w:pPr>
        <w:ind w:left="488" w:hanging="488"/>
        <w:spacing w:after="0" w:line="376" w:lineRule="auto"/>
        <w:tabs>
          <w:tab w:leader="none" w:pos="4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an Evidence of Award or another written agreement between a Participant and the Company and notwithstanding the Plan’s minimum vesting requirements, if a Change in Control occurs, then:</w:t>
      </w:r>
    </w:p>
    <w:p>
      <w:pPr>
        <w:spacing w:after="0" w:line="39" w:lineRule="exact"/>
        <w:rPr>
          <w:rFonts w:ascii="Times New Roman" w:cs="Times New Roman" w:eastAsia="Times New Roman" w:hAnsi="Times New Roman"/>
          <w:sz w:val="18"/>
          <w:szCs w:val="18"/>
          <w:color w:val="auto"/>
        </w:rPr>
      </w:pPr>
    </w:p>
    <w:p>
      <w:pPr>
        <w:jc w:val="both"/>
        <w:ind w:left="968" w:hanging="239"/>
        <w:spacing w:after="0" w:line="352" w:lineRule="auto"/>
        <w:tabs>
          <w:tab w:leader="none" w:pos="96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and Appreciation Rights issued that are not yet fully vested and exercisable as of the time of the Change in Control shall immediately become vested and exercisable in full, except to the extent that a Replacement Award is provided to the Participant in accordance with the terms described herein;</w:t>
      </w:r>
    </w:p>
    <w:p>
      <w:pPr>
        <w:spacing w:after="0" w:line="75" w:lineRule="exact"/>
        <w:rPr>
          <w:sz w:val="20"/>
          <w:szCs w:val="20"/>
          <w:color w:val="auto"/>
        </w:rPr>
      </w:pPr>
    </w:p>
    <w:p>
      <w:pPr>
        <w:jc w:val="both"/>
        <w:ind w:left="968" w:hanging="242"/>
        <w:spacing w:after="0" w:line="349" w:lineRule="auto"/>
        <w:rPr>
          <w:sz w:val="20"/>
          <w:szCs w:val="20"/>
          <w:color w:val="auto"/>
        </w:rPr>
      </w:pPr>
      <w:r>
        <w:rPr>
          <w:rFonts w:ascii="Times New Roman" w:cs="Times New Roman" w:eastAsia="Times New Roman" w:hAnsi="Times New Roman"/>
          <w:sz w:val="18"/>
          <w:szCs w:val="18"/>
          <w:color w:val="auto"/>
        </w:rPr>
        <w:t>(ii)Any restrictions, deferral of settlement and forfeiture conditions applicable to Restricted Stock, Restricted Stock Units, or other awards granted under Section 9 that vest solely based on continued service (and not based on the achievement of Management Objectives) shall lapse and such awards shall be deemed fully vested as of immediately prior to the Change in Control, except to the extent that a Replacement Award is provided to the Participant in accordance with the terms described herein;</w:t>
      </w:r>
    </w:p>
    <w:p>
      <w:pPr>
        <w:spacing w:after="0" w:line="65" w:lineRule="exact"/>
        <w:rPr>
          <w:sz w:val="20"/>
          <w:szCs w:val="20"/>
          <w:color w:val="auto"/>
        </w:rPr>
      </w:pPr>
    </w:p>
    <w:p>
      <w:pPr>
        <w:jc w:val="both"/>
        <w:ind w:left="968" w:hanging="239"/>
        <w:spacing w:after="0" w:line="349" w:lineRule="auto"/>
        <w:tabs>
          <w:tab w:leader="none" w:pos="16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Cash Incentive Awards, Performance Shares, Performance Units, and other awards granted under the Plan that are subject to the achievement of Management Objectives (other than the awards described in Section 12(b)(iv) below), the Management Objectives applicable thereto shall be deemed satisfied at target and the applicable performance period shall be deemed completed as of immediately prior to the Change in Control. Such awards will be replaced with a Replacement Award that</w:t>
      </w:r>
    </w:p>
    <w:p>
      <w:pPr>
        <w:sectPr>
          <w:pgSz w:w="11900" w:h="16838" w:orient="portrait"/>
          <w:cols w:equalWidth="0" w:num="1">
            <w:col w:w="10908"/>
          </w:cols>
          <w:pgMar w:left="652" w:top="10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300"/>
        <w:spacing w:after="0" w:line="349" w:lineRule="auto"/>
        <w:rPr>
          <w:sz w:val="20"/>
          <w:szCs w:val="20"/>
          <w:color w:val="auto"/>
        </w:rPr>
      </w:pPr>
      <w:r>
        <w:rPr>
          <w:rFonts w:ascii="Times New Roman" w:cs="Times New Roman" w:eastAsia="Times New Roman" w:hAnsi="Times New Roman"/>
          <w:sz w:val="18"/>
          <w:szCs w:val="18"/>
          <w:color w:val="auto"/>
        </w:rPr>
        <w:t>will vest thereafter pursuant to the service-based vesting schedule set forth in the applicable Evidence of Award unless the successor or acquiring entity in the Change in Control does not provide a Replacement Award. If such Replacement Award is not provided, then any remaining restrictions, deferral of settlement and forfeiture conditions applicable to such award shall lapse and such award shall be deemed fully vested as of immediately prior to the Change in Control; and</w:t>
      </w:r>
    </w:p>
    <w:p>
      <w:pPr>
        <w:spacing w:after="0" w:line="65" w:lineRule="exact"/>
        <w:rPr>
          <w:sz w:val="20"/>
          <w:szCs w:val="20"/>
          <w:color w:val="auto"/>
        </w:rPr>
      </w:pPr>
    </w:p>
    <w:p>
      <w:pPr>
        <w:jc w:val="both"/>
        <w:ind w:left="1300" w:hanging="239"/>
        <w:spacing w:after="0" w:line="344" w:lineRule="auto"/>
        <w:tabs>
          <w:tab w:leader="none" w:pos="193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Stock Units granted with Management Objectives that the Company describes as “Market Stock Units,” a prorated portion of such Market Stock Units shall vest based on actual performance of the Management Objectives through the date of the Change in Control. The remainder of the Market Stock Units (that did not vest in accordance with the immediately preceding sentence) will vest in accordance with their regular vesting schedule as set forth in the Evidence of Award unless the successor or acquiring entity in the Change in Control does not provide a Replacement Award for such remaining Market Stock Units. If such Replacement Award is not provided, then any remaining restrictions, deferral of settlement and forfeiture conditions applicable to such Market Stock Units shall lapse and such Market Stock Units shall be deemed fully vested as of immediately prior to the Change in Control.</w:t>
      </w:r>
    </w:p>
    <w:p>
      <w:pPr>
        <w:spacing w:after="0" w:line="70" w:lineRule="exact"/>
        <w:rPr>
          <w:rFonts w:ascii="Times New Roman" w:cs="Times New Roman" w:eastAsia="Times New Roman" w:hAnsi="Times New Roman"/>
          <w:sz w:val="18"/>
          <w:szCs w:val="18"/>
          <w:color w:val="auto"/>
        </w:rPr>
      </w:pPr>
    </w:p>
    <w:p>
      <w:pPr>
        <w:jc w:val="both"/>
        <w:ind w:left="820" w:hanging="488"/>
        <w:spacing w:after="0" w:line="342" w:lineRule="auto"/>
        <w:tabs>
          <w:tab w:leader="none" w:pos="8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agreement between a Participant and the Company or an affiliate, in the event that the Company’s auditors determine that any payment or transfer by the Company under this Plan to or for the benefit of a Participant (a “Payment”) would be nondeductible by the Company for federal income tax purposes because of the provisions concerning “excess parachute payments” in Code Section 280G, then, except to the extent otherwise determined by the Committee, the aggregate present value of all Payments to such Participant shall be reduced (but not below zero) to the amount, expressed as a present value, that maximizes the aggregate present value of the Payments without causing any Payment to be nondeductible by the Company because of Code Section 280G (the “Reduced Amount”); provided that the foregoing reduction in the Payments shall not apply if the after-tax value to the Participant of the Payments prior to reduction in accordance herewith is greater than the after-tax value to the Participant if the Payments are reduced in accordance herewith. All determinations under and relating to this Section 12(c) shall be made by the Committee in its sole and absolute discretion.</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345"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(cash and equity) granted under this Plan and held by the Company’s Executive Officers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recoupment or forfeiture (a) to the extent that such Executive Officer is determined to have engaged in fraud or intentional illegal conduct that caused the Company’s material non-compliance with any applicable financial reporting requirements and resulted in a financial restatement, the result of which is that the amount received from such award would have been lower had it been calculated on the basis of such restated results, or (b) required by applicable laws, rules, regulations or listing requirements. Such clawback, recoupment or forfeiture, in addition to any other remedies available under applicable laws, rules, regulations or listing requirements, shall occur through the cancellation of such awards (to the extent then-outstanding), the recoupment of any amounts realized with respect to such awards, or a combination of the foregoing, to the extent of the overpayment.</w:t>
      </w:r>
    </w:p>
    <w:p>
      <w:pPr>
        <w:spacing w:after="0" w:line="81" w:lineRule="exact"/>
        <w:rPr>
          <w:rFonts w:ascii="Times New Roman" w:cs="Times New Roman" w:eastAsia="Times New Roman" w:hAnsi="Times New Roman"/>
          <w:sz w:val="18"/>
          <w:szCs w:val="18"/>
          <w:color w:val="auto"/>
        </w:rPr>
      </w:pPr>
    </w:p>
    <w:p>
      <w:pPr>
        <w:jc w:val="both"/>
        <w:ind w:left="340" w:right="20"/>
        <w:spacing w:after="0" w:line="3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granted under the Plan will also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w:t>
      </w:r>
    </w:p>
    <w:p>
      <w:pPr>
        <w:sectPr>
          <w:pgSz w:w="11900" w:h="16838" w:orient="portrait"/>
          <w:cols w:equalWidth="0" w:num="1">
            <w:col w:w="11240"/>
          </w:cols>
          <w:pgMar w:left="320" w:top="10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spacing w:after="0" w:line="376" w:lineRule="auto"/>
        <w:rPr>
          <w:sz w:val="20"/>
          <w:szCs w:val="20"/>
          <w:color w:val="auto"/>
        </w:rPr>
      </w:pPr>
      <w:r>
        <w:rPr>
          <w:rFonts w:ascii="Times New Roman" w:cs="Times New Roman" w:eastAsia="Times New Roman" w:hAnsi="Times New Roman"/>
          <w:sz w:val="18"/>
          <w:szCs w:val="18"/>
          <w:color w:val="auto"/>
        </w:rPr>
        <w:t>Consumer Protection Act or other applicable law. The implementation of any clawback policy will not be deemed a triggering event for purposes of any definition of “good reason” for resignation or any “constructive termination” that may be applicable to an award granted under this Plan.</w:t>
      </w:r>
    </w:p>
    <w:p>
      <w:pPr>
        <w:spacing w:after="0" w:line="36" w:lineRule="exact"/>
        <w:rPr>
          <w:sz w:val="20"/>
          <w:szCs w:val="20"/>
          <w:color w:val="auto"/>
        </w:rPr>
      </w:pPr>
    </w:p>
    <w:p>
      <w:pPr>
        <w:jc w:val="both"/>
        <w:ind w:left="340" w:hanging="332"/>
        <w:spacing w:after="0" w:line="343"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Participants. </w:t>
      </w:r>
      <w:r>
        <w:rPr>
          <w:rFonts w:ascii="Times New Roman" w:cs="Times New Roman" w:eastAsia="Times New Roman" w:hAnsi="Times New Roman"/>
          <w:sz w:val="18"/>
          <w:szCs w:val="18"/>
          <w:color w:val="auto"/>
        </w:rPr>
        <w:t>In order to facilitate the making of any grant or combination of grants under this Plan, the Committee may provide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7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188" w:lineRule="exact"/>
        <w:rPr>
          <w:rFonts w:ascii="Times New Roman" w:cs="Times New Roman" w:eastAsia="Times New Roman" w:hAnsi="Times New Roman"/>
          <w:sz w:val="18"/>
          <w:szCs w:val="18"/>
          <w:color w:val="auto"/>
        </w:rPr>
      </w:pPr>
    </w:p>
    <w:p>
      <w:pPr>
        <w:jc w:val="both"/>
        <w:ind w:left="820" w:hanging="488"/>
        <w:spacing w:after="0" w:line="342" w:lineRule="auto"/>
        <w:tabs>
          <w:tab w:leader="none" w:pos="8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Committee, no Option Right, Appreciation Right, Restricted Stock, Restricted Stock Unit, Performance Share, Performance Unit, Cash Incentive Award, award contemplated by Section 9 of this Plan or dividend equivalents paid with respect to awards made under this Plan will be transferable by the Participant except by will or the laws of descent and distribution, nor will any such award be subject in any manner to anticipation, alienation, sale, assignment, pledge, encumbrance, attachment or garnishment. In no event will any such award granted under this Plan be transferred for value.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83"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Section 6 of this Plan, will be subject to further restrictions on transfer.</w:t>
      </w:r>
    </w:p>
    <w:p>
      <w:pPr>
        <w:spacing w:after="0" w:line="61" w:lineRule="exact"/>
        <w:rPr>
          <w:rFonts w:ascii="Times New Roman" w:cs="Times New Roman" w:eastAsia="Times New Roman" w:hAnsi="Times New Roman"/>
          <w:sz w:val="18"/>
          <w:szCs w:val="18"/>
          <w:color w:val="auto"/>
        </w:rPr>
      </w:pPr>
    </w:p>
    <w:p>
      <w:pPr>
        <w:jc w:val="both"/>
        <w:ind w:left="340" w:hanging="332"/>
        <w:spacing w:after="0" w:line="342"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Taxes; No Guarantee of Tax Treatment. </w:t>
      </w:r>
      <w:r>
        <w:rPr>
          <w:rFonts w:ascii="Times New Roman" w:cs="Times New Roman" w:eastAsia="Times New Roman" w:hAnsi="Times New Roman"/>
          <w:sz w:val="18"/>
          <w:szCs w:val="18"/>
          <w:color w:val="auto"/>
        </w:rPr>
        <w:t>To the extent that the Company is required to withhold federal, state, local or foreign taxes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payment made or benefit realized by a Participant or other person under this Plan,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Committee) may include relinquishment of a portion of such benefit. If a Participant’s benefit is to be received in the form of Common Stock, then, unless otherwise determined by the Committee, the Company will withhold from the shares required to be delivered to the Participant, shares of Common Stock having a value equal to the amount required to be withheld under applicable income and employment tax laws. The shares so withheld by the Company for tax withholding will be valued at an amount equal to the Market Value</w:t>
      </w:r>
    </w:p>
    <w:p>
      <w:pPr>
        <w:sectPr>
          <w:pgSz w:w="11900" w:h="16838" w:orient="portrait"/>
          <w:cols w:equalWidth="0" w:num="1">
            <w:col w:w="11240"/>
          </w:cols>
          <w:pgMar w:left="320" w:top="10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40"/>
        <w:spacing w:after="0" w:line="337" w:lineRule="auto"/>
        <w:rPr>
          <w:sz w:val="20"/>
          <w:szCs w:val="20"/>
          <w:color w:val="auto"/>
        </w:rPr>
      </w:pPr>
      <w:r>
        <w:rPr>
          <w:rFonts w:ascii="Times New Roman" w:cs="Times New Roman" w:eastAsia="Times New Roman" w:hAnsi="Times New Roman"/>
          <w:sz w:val="18"/>
          <w:szCs w:val="18"/>
          <w:color w:val="auto"/>
        </w:rPr>
        <w:t>per Share of such shares of Common Stock on the date the benefit is to be included in the Participant’s income. In no event will the value of the shares of Common Stock to be withheld and delivered pursuant to this Section to satisfy applicable withholding obligations exceed the maximum statutory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Committee may require for the payment of any withholding obligation that may arise in connection with the disposition of shares of Common Stock acquired upon the exercise of Option Rights. Notwithstanding any provisions of this Plan, the Company does not guarantee to any Participant or any other person with an interest in an award that</w:t>
      </w:r>
    </w:p>
    <w:p>
      <w:pPr>
        <w:spacing w:after="0" w:line="4" w:lineRule="exact"/>
        <w:rPr>
          <w:sz w:val="20"/>
          <w:szCs w:val="20"/>
          <w:color w:val="auto"/>
        </w:rPr>
      </w:pPr>
    </w:p>
    <w:p>
      <w:pPr>
        <w:jc w:val="both"/>
        <w:ind w:left="340" w:hanging="8"/>
        <w:spacing w:after="0" w:line="352" w:lineRule="auto"/>
        <w:tabs>
          <w:tab w:leader="none" w:pos="5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intended to be exempt from Code Section 409A shall be so exempt, (y) any award intended to comply with Code Section 409A or Code Section 422 shall so comply, or (z)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7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of the Code.</w:t>
      </w:r>
    </w:p>
    <w:p>
      <w:pPr>
        <w:spacing w:after="0" w:line="202"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The provisions of this Plan and any grants made hereunder will be construed and interpreted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82"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69"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83" w:lineRule="exact"/>
        <w:rPr>
          <w:rFonts w:ascii="Times New Roman" w:cs="Times New Roman" w:eastAsia="Times New Roman" w:hAnsi="Times New Roman"/>
          <w:sz w:val="18"/>
          <w:szCs w:val="18"/>
          <w:color w:val="auto"/>
        </w:rPr>
      </w:pPr>
    </w:p>
    <w:p>
      <w:pPr>
        <w:jc w:val="both"/>
        <w:ind w:left="820" w:hanging="488"/>
        <w:spacing w:after="0" w:line="344" w:lineRule="auto"/>
        <w:tabs>
          <w:tab w:leader="none" w:pos="8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w:t>
      </w:r>
    </w:p>
    <w:p>
      <w:pPr>
        <w:sectPr>
          <w:pgSz w:w="11900" w:h="16838" w:orient="portrait"/>
          <w:cols w:equalWidth="0" w:num="1">
            <w:col w:w="11240"/>
          </w:cols>
          <w:pgMar w:left="320" w:top="104" w:right="339" w:bottom="1440" w:gutter="0" w:footer="0" w:header="0"/>
        </w:sectPr>
      </w:pPr>
    </w:p>
    <w:bookmarkStart w:id="22" w:name="page23"/>
    <w:bookmarkEnd w:id="22"/>
    <w:p>
      <w:pPr>
        <w:ind w:left="10112"/>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12" w:right="20"/>
        <w:spacing w:after="0" w:line="352" w:lineRule="auto"/>
        <w:rPr>
          <w:sz w:val="20"/>
          <w:szCs w:val="20"/>
          <w:color w:val="auto"/>
        </w:rPr>
      </w:pPr>
      <w:r>
        <w:rPr>
          <w:rFonts w:ascii="Times New Roman" w:cs="Times New Roman" w:eastAsia="Times New Roman" w:hAnsi="Times New Roman"/>
          <w:sz w:val="18"/>
          <w:szCs w:val="18"/>
          <w:color w:val="auto"/>
        </w:rPr>
        <w:t>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75" w:lineRule="exact"/>
        <w:rPr>
          <w:sz w:val="20"/>
          <w:szCs w:val="20"/>
          <w:color w:val="auto"/>
        </w:rPr>
      </w:pPr>
    </w:p>
    <w:p>
      <w:pPr>
        <w:jc w:val="both"/>
        <w:ind w:left="812" w:hanging="488"/>
        <w:spacing w:after="0" w:line="344" w:lineRule="auto"/>
        <w:tabs>
          <w:tab w:leader="none" w:pos="80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65"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02" w:lineRule="exact"/>
        <w:rPr>
          <w:rFonts w:ascii="Times New Roman" w:cs="Times New Roman" w:eastAsia="Times New Roman" w:hAnsi="Times New Roman"/>
          <w:sz w:val="18"/>
          <w:szCs w:val="18"/>
          <w:color w:val="auto"/>
        </w:rPr>
      </w:pPr>
    </w:p>
    <w:p>
      <w:pPr>
        <w:ind w:left="812" w:hanging="488"/>
        <w:spacing w:after="0" w:line="376" w:lineRule="auto"/>
        <w:tabs>
          <w:tab w:leader="none" w:pos="8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then required by applicable law or deemed necessary or advisable by the Board, any amendment to this Plan shall be subject to Stockholder approval.</w:t>
      </w:r>
    </w:p>
    <w:p>
      <w:pPr>
        <w:spacing w:after="0" w:line="39" w:lineRule="exact"/>
        <w:rPr>
          <w:rFonts w:ascii="Times New Roman" w:cs="Times New Roman" w:eastAsia="Times New Roman" w:hAnsi="Times New Roman"/>
          <w:sz w:val="18"/>
          <w:szCs w:val="18"/>
          <w:color w:val="auto"/>
        </w:rPr>
      </w:pPr>
    </w:p>
    <w:p>
      <w:pPr>
        <w:jc w:val="both"/>
        <w:ind w:left="812" w:hanging="488"/>
        <w:spacing w:after="0" w:line="342" w:lineRule="auto"/>
        <w:tabs>
          <w:tab w:leader="none" w:pos="8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adjustments in connection with a corporate transaction or event described in Section 11 of this Plan or in connection with a Change in Control as provided herein,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Section 18(b) is intended to prohibit the repricing of “underwater” Option Rights and Appreciation Rights and will not be construed to prohibit the adjustments provided for in Section 11 of this Plan. Notwithstanding any provision of this Plan to the contrary, this Section 18(b) may not be amended without approval by the Stockholders.</w:t>
      </w:r>
    </w:p>
    <w:p>
      <w:pPr>
        <w:spacing w:after="0" w:line="83" w:lineRule="exact"/>
        <w:rPr>
          <w:rFonts w:ascii="Times New Roman" w:cs="Times New Roman" w:eastAsia="Times New Roman" w:hAnsi="Times New Roman"/>
          <w:sz w:val="18"/>
          <w:szCs w:val="18"/>
          <w:color w:val="auto"/>
        </w:rPr>
      </w:pPr>
    </w:p>
    <w:p>
      <w:pPr>
        <w:jc w:val="both"/>
        <w:ind w:left="812" w:hanging="488"/>
        <w:spacing w:after="0" w:line="340" w:lineRule="auto"/>
        <w:tabs>
          <w:tab w:leader="none" w:pos="8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Section 409A of the Code, but subject to the paragraph that follows, including (without limitation)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dividends or dividend equivalents or other awards made pursuant to Section 9 of this Plan subject to any vesting schedule or transfer restriction, or who holds shares of Common Stock subject to any transfer restriction imposed pursuant to Section 15(b) of this Plan, the Committee may, in its sole discretion but subject to the minimum vesting provisions of Section 3(d), provide for continued vesting or accelerate the time at which such Option Right, Appreciation Right or other award may be exercised or the time at which such substantial risk of forfeiture or prohibition or restriction on transfer will lapse or the time when such</w:t>
      </w:r>
    </w:p>
    <w:p>
      <w:pPr>
        <w:sectPr>
          <w:pgSz w:w="11900" w:h="16838" w:orient="portrait"/>
          <w:cols w:equalWidth="0" w:num="1">
            <w:col w:w="11232"/>
          </w:cols>
          <w:pgMar w:left="328" w:top="104"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right="20"/>
        <w:spacing w:after="0" w:line="352" w:lineRule="auto"/>
        <w:rPr>
          <w:sz w:val="20"/>
          <w:szCs w:val="20"/>
          <w:color w:val="auto"/>
        </w:rPr>
      </w:pPr>
      <w:r>
        <w:rPr>
          <w:rFonts w:ascii="Times New Roman" w:cs="Times New Roman" w:eastAsia="Times New Roman" w:hAnsi="Times New Roman"/>
          <w:sz w:val="18"/>
          <w:szCs w:val="18"/>
          <w:color w:val="auto"/>
        </w:rPr>
        <w:t>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w:t>
      </w:r>
    </w:p>
    <w:p>
      <w:pPr>
        <w:spacing w:after="0" w:line="75" w:lineRule="exact"/>
        <w:rPr>
          <w:sz w:val="20"/>
          <w:szCs w:val="20"/>
          <w:color w:val="auto"/>
        </w:rPr>
      </w:pPr>
    </w:p>
    <w:p>
      <w:pPr>
        <w:jc w:val="both"/>
        <w:ind w:left="820" w:hanging="488"/>
        <w:spacing w:after="0" w:line="342" w:lineRule="auto"/>
        <w:tabs>
          <w:tab w:leader="none" w:pos="8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18(b) of this Plan, the Committee may amend the terms of any award theretofore granted under this Plan prospectively or retroactively. Except for adjustments made pursuant to Section 11 of this Plan, no such amendment will materially impair the rights of any Participant without his or her consent; ; provided that Participant consent shall not be required for an amendment: (x) to the extent the Committee deems such amendment necessary to comply with any applicable law or the listing requirements of any principal securities exchange or market on which the shares are then traded; (y) to the extent the Committee deems such amendment necessary to preserve favorable accounting or tax treatment of any award for the Company; or (z) to the extent the Committee determines that such amendment does not materially and adversely affect the value of an award or that such action is in the best interest of the affected Participant or any other person(s) as may then have an interest in the award.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68" w:lineRule="exact"/>
        <w:rPr>
          <w:rFonts w:ascii="Times New Roman" w:cs="Times New Roman" w:eastAsia="Times New Roman" w:hAnsi="Times New Roman"/>
          <w:sz w:val="18"/>
          <w:szCs w:val="18"/>
          <w:color w:val="auto"/>
        </w:rPr>
      </w:pPr>
    </w:p>
    <w:p>
      <w:pPr>
        <w:ind w:left="340" w:hanging="332"/>
        <w:spacing w:after="0" w:line="38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Plan and all grants and awards and actions taken hereunder will be governed by and construed in accordance with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substantive laws of the State of Delaware.</w:t>
      </w:r>
    </w:p>
    <w:p>
      <w:pPr>
        <w:spacing w:after="0" w:line="33" w:lineRule="exact"/>
        <w:rPr>
          <w:rFonts w:ascii="Times New Roman" w:cs="Times New Roman" w:eastAsia="Times New Roman" w:hAnsi="Times New Roman"/>
          <w:sz w:val="18"/>
          <w:szCs w:val="18"/>
          <w:color w:val="auto"/>
        </w:rPr>
      </w:pPr>
    </w:p>
    <w:p>
      <w:pPr>
        <w:jc w:val="both"/>
        <w:ind w:left="340" w:hanging="332"/>
        <w:spacing w:after="0" w:line="340"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Date/Termination. </w:t>
      </w:r>
      <w:r>
        <w:rPr>
          <w:rFonts w:ascii="Times New Roman" w:cs="Times New Roman" w:eastAsia="Times New Roman" w:hAnsi="Times New Roman"/>
          <w:sz w:val="18"/>
          <w:szCs w:val="18"/>
          <w:color w:val="auto"/>
        </w:rPr>
        <w:t>This Plan will be effective as of the Effective Date. No grants will be made on or after the Effective Date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 Plans, provided that outstanding awards granted under the Predecessor Plans will continue unaffected following the Effective Date. No grant will be made under this Plan on or after the tenth anniversary of the earlier of (i) the date this Plan was most recently adopted by the Board and</w:t>
      </w:r>
    </w:p>
    <w:p>
      <w:pPr>
        <w:spacing w:after="0" w:line="1" w:lineRule="exact"/>
        <w:rPr>
          <w:rFonts w:ascii="Times New Roman" w:cs="Times New Roman" w:eastAsia="Times New Roman" w:hAnsi="Times New Roman"/>
          <w:sz w:val="18"/>
          <w:szCs w:val="18"/>
          <w:color w:val="auto"/>
        </w:rPr>
      </w:pPr>
    </w:p>
    <w:p>
      <w:pPr>
        <w:jc w:val="both"/>
        <w:ind w:left="340" w:hanging="8"/>
        <w:spacing w:after="0" w:line="352" w:lineRule="auto"/>
        <w:tabs>
          <w:tab w:leader="none" w:pos="61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Company's stockholders have most recently approved this Plan, but all grants made prior to such tenth anniversary date will continue in effect thereafter subject to the terms thereof and of this Plan. For clarification purposes, the terms and conditions of this Plan shall not apply to or otherwise impact previously granted and outstanding awards under the Predecessor Plans, as applicable.</w:t>
      </w:r>
    </w:p>
    <w:p>
      <w:pPr>
        <w:spacing w:after="0" w:line="7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188" w:lineRule="exact"/>
        <w:rPr>
          <w:rFonts w:ascii="Times New Roman" w:cs="Times New Roman" w:eastAsia="Times New Roman" w:hAnsi="Times New Roman"/>
          <w:sz w:val="18"/>
          <w:szCs w:val="18"/>
          <w:color w:val="auto"/>
        </w:rPr>
      </w:pPr>
    </w:p>
    <w:p>
      <w:pPr>
        <w:ind w:left="820" w:hanging="488"/>
        <w:spacing w:after="0" w:line="376" w:lineRule="auto"/>
        <w:tabs>
          <w:tab w:leader="none" w:pos="81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issue any fractional shares of Common Stock pursuant to this Plan. The Committee may provide for the elimination of fractions without consideration or for the settlement of fractions in cash.</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352" w:lineRule="auto"/>
        <w:tabs>
          <w:tab w:leader="none" w:pos="81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61" w:lineRule="exact"/>
        <w:rPr>
          <w:rFonts w:ascii="Times New Roman" w:cs="Times New Roman" w:eastAsia="Times New Roman" w:hAnsi="Times New Roman"/>
          <w:sz w:val="18"/>
          <w:szCs w:val="18"/>
          <w:color w:val="auto"/>
        </w:rPr>
      </w:pPr>
    </w:p>
    <w:p>
      <w:pPr>
        <w:jc w:val="both"/>
        <w:ind w:left="820" w:hanging="488"/>
        <w:spacing w:after="0" w:line="349" w:lineRule="auto"/>
        <w:tabs>
          <w:tab w:leader="none" w:pos="81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establish the effect (if any) of a termination of employment or service on the rights and benefits under each award under this Plan and in so doing may make distinctions based upon the cause of termination and type of award. If the Participant is not an employee of the Company or one of its Subsidiaries, is not a member of the Board, and provides other services to the Company or one of its Subsidiaries, the Committee shall be the sole judge for purposes of this Plan and awards hereunder of whether the Participant continues to</w:t>
      </w:r>
    </w:p>
    <w:p>
      <w:pPr>
        <w:sectPr>
          <w:pgSz w:w="11900" w:h="16838" w:orient="portrait"/>
          <w:cols w:equalWidth="0" w:num="1">
            <w:col w:w="11240"/>
          </w:cols>
          <w:pgMar w:left="320" w:top="10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88"/>
        <w:spacing w:after="0" w:line="344" w:lineRule="auto"/>
        <w:rPr>
          <w:sz w:val="20"/>
          <w:szCs w:val="20"/>
          <w:color w:val="auto"/>
        </w:rPr>
      </w:pPr>
      <w:r>
        <w:rPr>
          <w:rFonts w:ascii="Times New Roman" w:cs="Times New Roman" w:eastAsia="Times New Roman" w:hAnsi="Times New Roman"/>
          <w:sz w:val="18"/>
          <w:szCs w:val="18"/>
          <w:color w:val="auto"/>
        </w:rPr>
        <w:t>render services to the Company or one of its Subsidiaries and the date, if any, upon which such services shall be deemed to have terminated. For purposes of this Plan and any award hereunder, if an entity ceases to be a Subsidiary of the Company, a termination of employment or service shall be deemed to have occurred with respect to each Participant who is employed by or provides services to such entity and who does not satisfy the requirements for eligibility to receive awards under this Plan (as set forth in the definition of “Participant” in Section 2 of this Plan) after giving effect to the transaction or other event giving rise to the change in status (unless the Subsidiary that is sold, spun-off or otherwise divested (or its successor or a direct or indirect parent of such Subsidiary or successor) assumes the Participant’s award(s) in connection with such transaction).</w:t>
      </w:r>
    </w:p>
    <w:p>
      <w:pPr>
        <w:spacing w:after="0" w:line="70" w:lineRule="exact"/>
        <w:rPr>
          <w:sz w:val="20"/>
          <w:szCs w:val="20"/>
          <w:color w:val="auto"/>
        </w:rPr>
      </w:pPr>
    </w:p>
    <w:p>
      <w:pPr>
        <w:jc w:val="both"/>
        <w:ind w:left="488" w:hanging="488"/>
        <w:spacing w:after="0" w:line="352"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issue shares, and no award under this Plan may be exercised by the holder thereof if such issuance or exercise, and the receipt of cash or stock thereunder, would be, in the opinion of counsel selected by the Company, contrary to law or the regulations of any duly constituted authority having jurisdiction over this Plan.</w:t>
      </w:r>
    </w:p>
    <w:p>
      <w:pPr>
        <w:spacing w:after="0" w:line="74" w:lineRule="exact"/>
        <w:rPr>
          <w:rFonts w:ascii="Times New Roman" w:cs="Times New Roman" w:eastAsia="Times New Roman" w:hAnsi="Times New Roman"/>
          <w:sz w:val="18"/>
          <w:szCs w:val="18"/>
          <w:color w:val="auto"/>
        </w:rPr>
      </w:pPr>
    </w:p>
    <w:p>
      <w:pPr>
        <w:jc w:val="both"/>
        <w:ind w:left="488" w:hanging="488"/>
        <w:spacing w:after="0" w:line="342" w:lineRule="auto"/>
        <w:tabs>
          <w:tab w:leader="none" w:pos="4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express policy of the Company or one of its Subsidiaries (as applicable), or the Committee, otherwise provides, or except as otherwise required by applicable law, the employment relationship shall not be considered terminated in the case of: (i) sick leave, (ii) military leave, or (iii) any other leave of absence authorized by the Company or one of its Subsidiaries, or the Committee; provided that, unless reemployment upon the expiration of such leave is guaranteed by contract or law or the Committee otherwise provides, such leave is for a period of not more than three months. In the case of any employee of the Company or one of its Subsidiaries on an approved leave of absence, continued vesting of the award while on leave from the employ of the Company or one of its Subsidiaries may be suspended until the employee returns to service, unless the Committee otherwise provides or applicable law otherwise requires. In no event shall an award be exercised after the expiration of any applicable maximum term of the award.</w:t>
      </w:r>
    </w:p>
    <w:p>
      <w:pPr>
        <w:spacing w:after="0" w:line="83" w:lineRule="exact"/>
        <w:rPr>
          <w:rFonts w:ascii="Times New Roman" w:cs="Times New Roman" w:eastAsia="Times New Roman" w:hAnsi="Times New Roman"/>
          <w:sz w:val="18"/>
          <w:szCs w:val="18"/>
          <w:color w:val="auto"/>
        </w:rPr>
      </w:pPr>
    </w:p>
    <w:p>
      <w:pPr>
        <w:jc w:val="both"/>
        <w:ind w:left="488" w:hanging="488"/>
        <w:spacing w:after="0" w:line="352" w:lineRule="auto"/>
        <w:tabs>
          <w:tab w:leader="none" w:pos="4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61" w:lineRule="exact"/>
        <w:rPr>
          <w:rFonts w:ascii="Times New Roman" w:cs="Times New Roman" w:eastAsia="Times New Roman" w:hAnsi="Times New Roman"/>
          <w:sz w:val="18"/>
          <w:szCs w:val="18"/>
          <w:color w:val="auto"/>
        </w:rPr>
      </w:pPr>
    </w:p>
    <w:p>
      <w:pPr>
        <w:jc w:val="both"/>
        <w:ind w:left="488" w:hanging="488"/>
        <w:spacing w:after="0" w:line="349"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78" w:lineRule="exact"/>
        <w:rPr>
          <w:rFonts w:ascii="Times New Roman" w:cs="Times New Roman" w:eastAsia="Times New Roman" w:hAnsi="Times New Roman"/>
          <w:sz w:val="18"/>
          <w:szCs w:val="18"/>
          <w:color w:val="auto"/>
        </w:rPr>
      </w:pPr>
    </w:p>
    <w:p>
      <w:pPr>
        <w:jc w:val="both"/>
        <w:ind w:left="488" w:hanging="488"/>
        <w:spacing w:after="0" w:line="341"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w:t>
      </w:r>
    </w:p>
    <w:p>
      <w:pPr>
        <w:sectPr>
          <w:pgSz w:w="11900" w:h="16838" w:orient="portrait"/>
          <w:cols w:equalWidth="0" w:num="1">
            <w:col w:w="10908"/>
          </w:cols>
          <w:pgMar w:left="652" w:top="104" w:right="339" w:bottom="1440" w:gutter="0" w:footer="0" w:header="0"/>
        </w:sectPr>
      </w:pPr>
    </w:p>
    <w:bookmarkStart w:id="25" w:name="page26"/>
    <w:bookmarkEnd w:id="25"/>
    <w:p>
      <w:pPr>
        <w:ind w:left="10112"/>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prohibited from providing information voluntarily to the Securities and Exchange Commission pursuant to Section 21F of the Exchange Act.</w:t>
      </w:r>
    </w:p>
    <w:p>
      <w:pPr>
        <w:spacing w:after="0" w:line="198" w:lineRule="exact"/>
        <w:rPr>
          <w:sz w:val="20"/>
          <w:szCs w:val="20"/>
          <w:color w:val="auto"/>
        </w:rPr>
      </w:pPr>
    </w:p>
    <w:p>
      <w:pPr>
        <w:jc w:val="both"/>
        <w:ind w:left="812" w:hanging="488"/>
        <w:spacing w:after="0" w:line="341" w:lineRule="auto"/>
        <w:tabs>
          <w:tab w:leader="none" w:pos="8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payable under this Plan shall be payable in shares or from the general assets of the Company, and no special or separate reserve, fund or deposit shall be made to assure payment of such awards. No Participant or other person shall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or any Subsidiary and any Participant or other person. To the extent that a Participant or other person acquires a right to receive payment pursuant to any award hereunder, such right shall be no greater than the right of any unsecured general creditor of the Company.</w:t>
      </w:r>
    </w:p>
    <w:p>
      <w:pPr>
        <w:spacing w:after="0" w:line="87" w:lineRule="exact"/>
        <w:rPr>
          <w:rFonts w:ascii="Times New Roman" w:cs="Times New Roman" w:eastAsia="Times New Roman" w:hAnsi="Times New Roman"/>
          <w:sz w:val="18"/>
          <w:szCs w:val="18"/>
          <w:color w:val="auto"/>
        </w:rPr>
      </w:pPr>
    </w:p>
    <w:p>
      <w:pPr>
        <w:jc w:val="both"/>
        <w:ind w:left="812" w:hanging="488"/>
        <w:spacing w:after="0" w:line="341" w:lineRule="auto"/>
        <w:tabs>
          <w:tab w:leader="none" w:pos="8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this Plan, the Evidences of Award and the awards granted hereunder shall not limit, affect, or restrict in any way the right or power of the Company or any Subsidiary (or any of their respective stockholders, boards of directors or committees thereof (or any subcommittees), as the case may be) to make or authorize: (a) any adjustment, recapitalization, reorganization or other change in the capital structure or business of the Company or any Subsidiary, (b) any merger, amalgamation, consolidation or change in the ownership of the Company or any Subsidiary, (c) any issue of bonds, debentures, capital, preferred or prior preference stock ahead of or affecting the capital stock (or the rights thereof) of the Company or any Subsidiary, (d) any dissolution or liquidation of the Company or any Subsidiary, (e) any sale or transfer of all or any part of the assets or business of the Company or any Subsidiary, (f) any other award, grant, or payment of incentives or other compensation under any other plan or authority (or any other action with respect to any benefit, incentive or compensation), or (g) any other corporate act or proceeding by the Company or any Subsidiary. No Participant or other person shall have any claim under any award or award agreement against any member of the Board or the Committee, or the Company or any employees, officers or agents of the Company or any Subsidiary, as a result of any such action. Awards need not be structured so as to be deductible for tax purposes.</w:t>
      </w:r>
    </w:p>
    <w:p>
      <w:pPr>
        <w:spacing w:after="0" w:line="72" w:lineRule="exact"/>
        <w:rPr>
          <w:rFonts w:ascii="Times New Roman" w:cs="Times New Roman" w:eastAsia="Times New Roman" w:hAnsi="Times New Roman"/>
          <w:sz w:val="18"/>
          <w:szCs w:val="18"/>
          <w:color w:val="auto"/>
        </w:rPr>
      </w:pPr>
    </w:p>
    <w:p>
      <w:pPr>
        <w:jc w:val="both"/>
        <w:ind w:left="812" w:hanging="488"/>
        <w:spacing w:after="0" w:line="348" w:lineRule="auto"/>
        <w:tabs>
          <w:tab w:leader="none" w:pos="8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shall dispose of shares acquired through exercise of an Incentive Stock Option within either (i) two (2) years after the date the Incentive Stock Option is granted or (ii) one (1) year after the date the Incentive Stock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within seven (7) days of the date the Participant makes such an election.</w:t>
      </w:r>
    </w:p>
    <w:p>
      <w:pPr>
        <w:spacing w:after="0" w:line="61"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Awards in Substitution for Awards Granted by Another Company. </w:t>
      </w:r>
      <w:r>
        <w:rPr>
          <w:rFonts w:ascii="Times New Roman" w:cs="Times New Roman" w:eastAsia="Times New Roman" w:hAnsi="Times New Roman"/>
          <w:sz w:val="18"/>
          <w:szCs w:val="18"/>
          <w:color w:val="auto"/>
        </w:rPr>
        <w:t>Notwithstanding anything in this Plan to the contrary:</w:t>
      </w:r>
    </w:p>
    <w:p>
      <w:pPr>
        <w:spacing w:after="0" w:line="202" w:lineRule="exact"/>
        <w:rPr>
          <w:rFonts w:ascii="Times New Roman" w:cs="Times New Roman" w:eastAsia="Times New Roman" w:hAnsi="Times New Roman"/>
          <w:sz w:val="18"/>
          <w:szCs w:val="18"/>
          <w:color w:val="auto"/>
        </w:rPr>
      </w:pPr>
    </w:p>
    <w:p>
      <w:pPr>
        <w:jc w:val="both"/>
        <w:ind w:left="812" w:hanging="488"/>
        <w:spacing w:after="0" w:line="349" w:lineRule="auto"/>
        <w:tabs>
          <w:tab w:leader="none" w:pos="8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w:t>
      </w:r>
    </w:p>
    <w:p>
      <w:pPr>
        <w:sectPr>
          <w:pgSz w:w="11900" w:h="16838" w:orient="portrait"/>
          <w:cols w:equalWidth="0" w:num="1">
            <w:col w:w="11232"/>
          </w:cols>
          <w:pgMar w:left="328" w:top="10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88"/>
        <w:spacing w:after="0" w:line="344" w:lineRule="auto"/>
        <w:rPr>
          <w:sz w:val="20"/>
          <w:szCs w:val="20"/>
          <w:color w:val="auto"/>
        </w:rPr>
      </w:pPr>
      <w:r>
        <w:rPr>
          <w:rFonts w:ascii="Times New Roman" w:cs="Times New Roman" w:eastAsia="Times New Roman" w:hAnsi="Times New Roman"/>
          <w:sz w:val="18"/>
          <w:szCs w:val="18"/>
          <w:color w:val="auto"/>
        </w:rPr>
        <w:t>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83" w:lineRule="exact"/>
        <w:rPr>
          <w:sz w:val="20"/>
          <w:szCs w:val="20"/>
          <w:color w:val="auto"/>
        </w:rPr>
      </w:pPr>
    </w:p>
    <w:p>
      <w:pPr>
        <w:jc w:val="both"/>
        <w:ind w:left="488" w:hanging="488"/>
        <w:spacing w:after="0" w:line="344" w:lineRule="auto"/>
        <w:tabs>
          <w:tab w:leader="none" w:pos="4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82" w:lineRule="exact"/>
        <w:rPr>
          <w:rFonts w:ascii="Times New Roman" w:cs="Times New Roman" w:eastAsia="Times New Roman" w:hAnsi="Times New Roman"/>
          <w:sz w:val="18"/>
          <w:szCs w:val="18"/>
          <w:color w:val="auto"/>
        </w:rPr>
      </w:pPr>
    </w:p>
    <w:p>
      <w:pPr>
        <w:jc w:val="both"/>
        <w:ind w:left="488" w:hanging="488"/>
        <w:spacing w:after="0" w:line="344" w:lineRule="auto"/>
        <w:tabs>
          <w:tab w:leader="none" w:pos="4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that are issued or transferred by, or that are subject to any awards that are granted by, or become obligations of, the Company under Sections 22(a) or 22(b) of this Plan will not reduce the shares of Common Stock available for issuance or transfer under this Plan or otherwise count against the limits contained in Section 3 of this Plan. In addition, no shares of Common Stock subject to an award that is granted by, or becomes an obligation of, the Company under Sections 22(a) or 22(b) of this Plan will be added to the aggregate limit contained in Section 3(a)(i) of this Plan.</w:t>
      </w:r>
    </w:p>
    <w:sectPr>
      <w:pgSz w:w="11900" w:h="16838" w:orient="portrait"/>
      <w:cols w:equalWidth="0" w:num="1">
        <w:col w:w="10908"/>
      </w:cols>
      <w:pgMar w:left="652"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1."/>
      <w:numFmt w:val="decimal"/>
      <w:start w:val="1"/>
    </w:lvl>
    <w:lvl w:ilvl="1">
      <w:lvlJc w:val="left"/>
      <w:lvlText w:val="(%2)"/>
      <w:numFmt w:val="lowerLetter"/>
      <w:start w:val="1"/>
    </w:lvl>
  </w:abstractNum>
  <w:abstractNum w:abstractNumId="2">
    <w:nsid w:val="4353D0CD"/>
    <w:multiLevelType w:val="hybridMultilevel"/>
    <w:lvl w:ilvl="0">
      <w:lvlJc w:val="left"/>
      <w:lvlText w:val="(%1)"/>
      <w:numFmt w:val="lowerLetter"/>
      <w:start w:val="11"/>
    </w:lvl>
  </w:abstractNum>
  <w:abstractNum w:abstractNumId="3">
    <w:nsid w:val="B03E0C6"/>
    <w:multiLevelType w:val="hybridMultilevel"/>
    <w:lvl w:ilvl="0">
      <w:lvlJc w:val="left"/>
      <w:lvlText w:val="(%1)"/>
      <w:numFmt w:val="lowerLetter"/>
      <w:start w:val="20"/>
    </w:lvl>
  </w:abstractNum>
  <w:abstractNum w:abstractNumId="4">
    <w:nsid w:val="189A769B"/>
    <w:multiLevelType w:val="hybridMultilevel"/>
    <w:lvl w:ilvl="0">
      <w:lvlJc w:val="left"/>
      <w:lvlText w:val="(%1)"/>
      <w:numFmt w:val="lowerLetter"/>
      <w:start w:val="27"/>
    </w:lvl>
  </w:abstractNum>
  <w:abstractNum w:abstractNumId="5">
    <w:nsid w:val="54E49EB4"/>
    <w:multiLevelType w:val="hybridMultilevel"/>
    <w:lvl w:ilvl="0">
      <w:lvlJc w:val="left"/>
      <w:lvlText w:val="(%1)"/>
      <w:numFmt w:val="lowerLetter"/>
      <w:start w:val="29"/>
    </w:lvl>
  </w:abstractNum>
  <w:abstractNum w:abstractNumId="6">
    <w:nsid w:val="71F32454"/>
    <w:multiLevelType w:val="hybridMultilevel"/>
    <w:lvl w:ilvl="0">
      <w:lvlJc w:val="left"/>
      <w:lvlText w:val="%1"/>
      <w:numFmt w:val="decimal"/>
      <w:start w:val="1"/>
    </w:lvl>
    <w:lvl w:ilvl="1">
      <w:lvlJc w:val="left"/>
      <w:lvlText w:val="(%2)"/>
      <w:numFmt w:val="lowerLetter"/>
      <w:start w:val="37"/>
    </w:lvl>
    <w:lvl w:ilvl="2">
      <w:lvlJc w:val="left"/>
      <w:lvlText w:val="%3"/>
      <w:numFmt w:val="lowerLetter"/>
      <w:start w:val="1"/>
    </w:lvl>
  </w:abstractNum>
  <w:abstractNum w:abstractNumId="7">
    <w:nsid w:val="2CA8861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8">
    <w:nsid w:val="836C40E"/>
    <w:multiLevelType w:val="hybridMultilevel"/>
    <w:lvl w:ilvl="0">
      <w:lvlJc w:val="left"/>
      <w:lvlText w:val="(%1)"/>
      <w:numFmt w:val="lowerLetter"/>
      <w:start w:val="2"/>
    </w:lvl>
    <w:lvl w:ilvl="1">
      <w:lvlJc w:val="left"/>
      <w:lvlText w:val="(%2)"/>
      <w:numFmt w:val="lowerLetter"/>
      <w:start w:val="9"/>
    </w:lvl>
  </w:abstractNum>
  <w:abstractNum w:abstractNumId="9">
    <w:nsid w:val="2901D82"/>
    <w:multiLevelType w:val="hybridMultilevel"/>
    <w:lvl w:ilvl="0">
      <w:lvlJc w:val="left"/>
      <w:lvlText w:val="(%1)"/>
      <w:numFmt w:val="lowerRoman"/>
      <w:start w:val="3"/>
    </w:lvl>
  </w:abstractNum>
  <w:abstractNum w:abstractNumId="10">
    <w:nsid w:val="3A95F874"/>
    <w:multiLevelType w:val="hybridMultilevel"/>
    <w:lvl w:ilvl="0">
      <w:lvlJc w:val="left"/>
      <w:lvlText w:val="%1"/>
      <w:numFmt w:val="lowerLetter"/>
      <w:start w:val="1"/>
    </w:lvl>
    <w:lvl w:ilvl="1">
      <w:lvlJc w:val="left"/>
      <w:lvlText w:val="(%2)"/>
      <w:numFmt w:val="lowerRoman"/>
      <w:start w:val="4"/>
    </w:lvl>
  </w:abstractNum>
  <w:abstractNum w:abstractNumId="11">
    <w:nsid w:val="8138641"/>
    <w:multiLevelType w:val="hybridMultilevel"/>
    <w:lvl w:ilvl="0">
      <w:lvlJc w:val="left"/>
      <w:lvlText w:val="(%1)"/>
      <w:numFmt w:val="lowerLetter"/>
      <w:start w:val="3"/>
    </w:lvl>
    <w:lvl w:ilvl="1">
      <w:lvlJc w:val="left"/>
      <w:lvlText w:val="%2"/>
      <w:numFmt w:val="lowerRoman"/>
      <w:start w:val="1"/>
    </w:lvl>
  </w:abstractNum>
  <w:abstractNum w:abstractNumId="12">
    <w:nsid w:val="1E7FF521"/>
    <w:multiLevelType w:val="hybridMultilevel"/>
    <w:lvl w:ilvl="0">
      <w:lvlJc w:val="left"/>
      <w:lvlText w:val="%1."/>
      <w:numFmt w:val="decimal"/>
      <w:start w:val="4"/>
    </w:lvl>
    <w:lvl w:ilvl="1">
      <w:lvlJc w:val="left"/>
      <w:lvlText w:val="(%2)"/>
      <w:numFmt w:val="lowerLetter"/>
      <w:start w:val="1"/>
    </w:lvl>
  </w:abstractNum>
  <w:abstractNum w:abstractNumId="13">
    <w:nsid w:val="7C3DBD3D"/>
    <w:multiLevelType w:val="hybridMultilevel"/>
    <w:lvl w:ilvl="0">
      <w:lvlJc w:val="left"/>
      <w:lvlText w:val="%1"/>
      <w:numFmt w:val="decimal"/>
      <w:start w:val="1"/>
    </w:lvl>
    <w:lvl w:ilvl="1">
      <w:lvlJc w:val="left"/>
      <w:lvlText w:val="(%2)"/>
      <w:numFmt w:val="lowerLetter"/>
      <w:start w:val="9"/>
    </w:lvl>
  </w:abstractNum>
  <w:abstractNum w:abstractNumId="14">
    <w:nsid w:val="737B8DDC"/>
    <w:multiLevelType w:val="hybridMultilevel"/>
    <w:lvl w:ilvl="0">
      <w:lvlJc w:val="left"/>
      <w:lvlText w:val="%1."/>
      <w:numFmt w:val="decimal"/>
      <w:start w:val="5"/>
    </w:lvl>
    <w:lvl w:ilvl="1">
      <w:lvlJc w:val="left"/>
      <w:lvlText w:val="(%2)"/>
      <w:numFmt w:val="lowerLetter"/>
      <w:start w:val="1"/>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Roman"/>
      <w:start w:val="3"/>
    </w:lvl>
  </w:abstractNum>
  <w:abstractNum w:abstractNumId="17">
    <w:nsid w:val="4516DDE9"/>
    <w:multiLevelType w:val="hybridMultilevel"/>
    <w:lvl w:ilvl="0">
      <w:lvlJc w:val="left"/>
      <w:lvlText w:val="(%1)"/>
      <w:numFmt w:val="lowerLetter"/>
      <w:start w:val="3"/>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decimal"/>
      <w:start w:val="6"/>
    </w:lvl>
    <w:lvl w:ilvl="1">
      <w:lvlJc w:val="left"/>
      <w:lvlText w:val="(%2)"/>
      <w:numFmt w:val="lowerLetter"/>
      <w:start w:val="1"/>
    </w:lvl>
  </w:abstractNum>
  <w:abstractNum w:abstractNumId="20">
    <w:nsid w:val="419AC24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35"/>
    </w:lvl>
  </w:abstractNum>
  <w:abstractNum w:abstractNumId="21">
    <w:nsid w:val="5577F8E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2">
    <w:nsid w:val="440BADFC"/>
    <w:multiLevelType w:val="hybridMultilevel"/>
    <w:lvl w:ilvl="0">
      <w:lvlJc w:val="left"/>
      <w:lvlText w:val="%1"/>
      <w:numFmt w:val="decimal"/>
      <w:start w:val="1"/>
    </w:lvl>
    <w:lvl w:ilvl="1">
      <w:lvlJc w:val="left"/>
      <w:lvlText w:val="(%2)"/>
      <w:numFmt w:val="lowerLetter"/>
      <w:start w:val="1"/>
    </w:lvl>
  </w:abstractNum>
  <w:abstractNum w:abstractNumId="23">
    <w:nsid w:val="5072367"/>
    <w:multiLevelType w:val="hybridMultilevel"/>
    <w:lvl w:ilvl="0">
      <w:lvlJc w:val="left"/>
      <w:lvlText w:val="%1."/>
      <w:numFmt w:val="decimal"/>
      <w:start w:val="9"/>
    </w:lvl>
    <w:lvl w:ilvl="1">
      <w:lvlJc w:val="left"/>
      <w:lvlText w:val="(%2)"/>
      <w:numFmt w:val="lowerLetter"/>
      <w:start w:val="1"/>
    </w:lvl>
  </w:abstractNum>
  <w:abstractNum w:abstractNumId="24">
    <w:nsid w:val="3804823E"/>
    <w:multiLevelType w:val="hybridMultilevel"/>
    <w:lvl w:ilvl="0">
      <w:lvlJc w:val="left"/>
      <w:lvlText w:val="%1"/>
      <w:numFmt w:val="decimal"/>
      <w:start w:val="1"/>
    </w:lvl>
    <w:lvl w:ilvl="1">
      <w:lvlJc w:val="left"/>
      <w:lvlText w:val="(%2)"/>
      <w:numFmt w:val="lowerLetter"/>
      <w:start w:val="2"/>
    </w:lvl>
  </w:abstractNum>
  <w:abstractNum w:abstractNumId="25">
    <w:nsid w:val="77465F01"/>
    <w:multiLevelType w:val="hybridMultilevel"/>
    <w:lvl w:ilvl="0">
      <w:lvlJc w:val="left"/>
      <w:lvlText w:val="%1."/>
      <w:numFmt w:val="decimal"/>
      <w:start w:val="10"/>
    </w:lvl>
    <w:lvl w:ilvl="1">
      <w:lvlJc w:val="left"/>
      <w:lvlText w:val="(%2)"/>
      <w:numFmt w:val="lowerLetter"/>
      <w:start w:val="1"/>
    </w:lvl>
  </w:abstractNum>
  <w:abstractNum w:abstractNumId="26">
    <w:nsid w:val="7724C67E"/>
    <w:multiLevelType w:val="hybridMultilevel"/>
    <w:lvl w:ilvl="0">
      <w:lvlJc w:val="left"/>
      <w:lvlText w:val="%1"/>
      <w:numFmt w:val="decimal"/>
      <w:start w:val="1"/>
    </w:lvl>
    <w:lvl w:ilvl="1">
      <w:lvlJc w:val="left"/>
      <w:lvlText w:val="(%2)"/>
      <w:numFmt w:val="lowerLetter"/>
      <w:start w:val="2"/>
    </w:lvl>
  </w:abstractNum>
  <w:abstractNum w:abstractNumId="27">
    <w:nsid w:val="5C482A97"/>
    <w:multiLevelType w:val="hybridMultilevel"/>
    <w:lvl w:ilvl="0">
      <w:lvlJc w:val="left"/>
      <w:lvlText w:val="%1."/>
      <w:numFmt w:val="decimal"/>
      <w:start w:val="11"/>
    </w:lvl>
    <w:lvl w:ilvl="1">
      <w:lvlJc w:val="left"/>
      <w:lvlText w:val="%2"/>
      <w:numFmt w:val="lowerLetter"/>
      <w:start w:val="1"/>
    </w:lvl>
  </w:abstractNum>
  <w:abstractNum w:abstractNumId="28">
    <w:nsid w:val="2463B9EA"/>
    <w:multiLevelType w:val="hybridMultilevel"/>
    <w:lvl w:ilvl="0">
      <w:lvlJc w:val="left"/>
      <w:lvlText w:val="%1."/>
      <w:numFmt w:val="decimal"/>
      <w:start w:val="12"/>
    </w:lvl>
    <w:lvl w:ilvl="1">
      <w:lvlJc w:val="left"/>
      <w:lvlText w:val="(%2)"/>
      <w:numFmt w:val="lowerLetter"/>
      <w:start w:val="1"/>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lowerLetter"/>
      <w:start w:val="1"/>
    </w:lvl>
    <w:lvl w:ilvl="1">
      <w:lvlJc w:val="left"/>
      <w:lvlText w:val="(%2)"/>
      <w:numFmt w:val="lowerRoman"/>
      <w:start w:val="3"/>
    </w:lvl>
  </w:abstractNum>
  <w:abstractNum w:abstractNumId="31">
    <w:nsid w:val="2D517796"/>
    <w:multiLevelType w:val="hybridMultilevel"/>
    <w:lvl w:ilvl="0">
      <w:lvlJc w:val="left"/>
      <w:lvlText w:val="(%1)"/>
      <w:numFmt w:val="lowerLetter"/>
      <w:start w:val="2"/>
    </w:lvl>
    <w:lvl w:ilvl="1">
      <w:lvlJc w:val="left"/>
      <w:lvlText w:val="(%2)"/>
      <w:numFmt w:val="lowerRoman"/>
      <w:start w:val="1"/>
    </w:lvl>
  </w:abstractNum>
  <w:abstractNum w:abstractNumId="32">
    <w:nsid w:val="580BD78F"/>
    <w:multiLevelType w:val="hybridMultilevel"/>
    <w:lvl w:ilvl="0">
      <w:lvlJc w:val="left"/>
      <w:lvlText w:val="(%1)"/>
      <w:numFmt w:val="lowerRoman"/>
      <w:start w:val="3"/>
    </w:lvl>
  </w:abstractNum>
  <w:abstractNum w:abstractNumId="33">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4">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
    <w:nsid w:val="70A64E2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6">
    <w:nsid w:val="6A2342EC"/>
    <w:multiLevelType w:val="hybridMultilevel"/>
    <w:lvl w:ilvl="0">
      <w:lvlJc w:val="left"/>
      <w:lvlText w:val="%1."/>
      <w:numFmt w:val="decimal"/>
      <w:start w:val="14"/>
    </w:lvl>
    <w:lvl w:ilvl="1">
      <w:lvlJc w:val="left"/>
      <w:lvlText w:val="(%2)"/>
      <w:numFmt w:val="lowerLetter"/>
      <w:start w:val="1"/>
    </w:lvl>
  </w:abstractNum>
  <w:abstractNum w:abstractNumId="37">
    <w:nsid w:val="2A487CB0"/>
    <w:multiLevelType w:val="hybridMultilevel"/>
    <w:lvl w:ilvl="0">
      <w:lvlJc w:val="left"/>
      <w:lvlText w:val="%1"/>
      <w:numFmt w:val="decimal"/>
      <w:start w:val="1"/>
    </w:lvl>
    <w:lvl w:ilvl="1">
      <w:lvlJc w:val="left"/>
      <w:lvlText w:val="(%2)"/>
      <w:numFmt w:val="lowerLetter"/>
      <w:start w:val="24"/>
    </w:lvl>
  </w:abstractNum>
  <w:abstractNum w:abstractNumId="38">
    <w:nsid w:val="1D4ED43B"/>
    <w:multiLevelType w:val="hybridMultilevel"/>
    <w:lvl w:ilvl="0">
      <w:lvlJc w:val="left"/>
      <w:lvlText w:val="%1."/>
      <w:numFmt w:val="decimal"/>
      <w:start w:val="17"/>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5"/>
    </w:lvl>
  </w:abstractNum>
  <w:abstractNum w:abstractNumId="40">
    <w:nsid w:val="2CD89A32"/>
    <w:multiLevelType w:val="hybridMultilevel"/>
    <w:lvl w:ilvl="0">
      <w:lvlJc w:val="left"/>
      <w:lvlText w:val="%1."/>
      <w:numFmt w:val="decimal"/>
      <w:start w:val="18"/>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4"/>
    </w:lvl>
  </w:abstractNum>
  <w:abstractNum w:abstractNumId="42">
    <w:nsid w:val="7A6D8D3C"/>
    <w:multiLevelType w:val="hybridMultilevel"/>
    <w:lvl w:ilvl="0">
      <w:lvlJc w:val="left"/>
      <w:lvlText w:val="%1."/>
      <w:numFmt w:val="decimal"/>
      <w:start w:val="19"/>
    </w:lvl>
    <w:lvl w:ilvl="1">
      <w:lvlJc w:val="left"/>
      <w:lvlText w:val="(%2)"/>
      <w:numFmt w:val="lowerLetter"/>
      <w:start w:val="35"/>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lowerLetter"/>
      <w:start w:val="4"/>
    </w:lvl>
  </w:abstractNum>
  <w:abstractNum w:abstractNumId="45">
    <w:nsid w:val="6DE91B18"/>
    <w:multiLevelType w:val="hybridMultilevel"/>
    <w:lvl w:ilvl="0">
      <w:lvlJc w:val="left"/>
      <w:lvlText w:val="%1"/>
      <w:numFmt w:val="decimal"/>
      <w:start w:val="1"/>
    </w:lvl>
    <w:lvl w:ilvl="1">
      <w:lvlJc w:val="left"/>
      <w:lvlText w:val="(%2)"/>
      <w:numFmt w:val="lowerLetter"/>
      <w:start w:val="9"/>
    </w:lvl>
  </w:abstractNum>
  <w:abstractNum w:abstractNumId="46">
    <w:nsid w:val="38437FDB"/>
    <w:multiLevelType w:val="hybridMultilevel"/>
    <w:lvl w:ilvl="0">
      <w:lvlJc w:val="left"/>
      <w:lvlText w:val="%1."/>
      <w:numFmt w:val="decimal"/>
      <w:start w:val="22"/>
    </w:lvl>
    <w:lvl w:ilvl="1">
      <w:lvlJc w:val="left"/>
      <w:lvlText w:val="(%2)"/>
      <w:numFmt w:val="lowerLetter"/>
      <w:start w:val="1"/>
    </w:lvl>
  </w:abstractNum>
  <w:abstractNum w:abstractNumId="47">
    <w:nsid w:val="7644A4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2026-10-29T05:09:09Z</dcterms:created>
  <dcterms:modified xsi:type="dcterms:W3CDTF">2026-10-29T05:09:09Z</dcterms:modified>
</cp:coreProperties>
</file>