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ny20081083x3_defa14a.htm"/>
      <w:bookmarkStart w:id="1" w:name="ksny20081083x3_defa14a"/>
      <w:bookmarkStart w:id="2" w:name="ny20081083x3_defa14a.htm"/>
      <w:bookmarkStart w:id="3" w:name="ksny20081083x3_defa14a"/>
      <w:bookmarkEnd w:id="2"/>
      <w:bookmarkEnd w:id="3"/>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before="0" w:after="0"/>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r>
    </w:p>
    <w:p>
      <w:pPr>
        <w:pStyle w:val="HorizontalLine"/>
        <w:pBdr>
          <w:bottom w:val="single" w:sz="12" w:space="0" w:color="808080"/>
        </w:pBdr>
        <w:bidi w:val="0"/>
        <w:jc w:val="center"/>
        <w:rPr/>
      </w:pPr>
      <w:r>
        <w:rPr/>
      </w:r>
    </w:p>
    <w:p>
      <w:pPr>
        <w:pStyle w:val="TextBody"/>
        <w:bidi w:val="0"/>
        <w:spacing w:before="0" w:after="0"/>
        <w:jc w:val="left"/>
        <w:rPr>
          <w:b w:val="false"/>
          <w:sz w:val="20"/>
        </w:rPr>
      </w:pPr>
      <w:r>
        <w:rPr>
          <w:b w:val="false"/>
          <w:sz w:val="20"/>
        </w:rPr>
      </w:r>
    </w:p>
    <w:p>
      <w:pPr>
        <w:pStyle w:val="TextBody"/>
        <w:bidi w:val="0"/>
        <w:spacing w:before="0" w:after="0"/>
        <w:jc w:val="center"/>
        <w:rPr>
          <w:rFonts w:ascii="Times New Roman;Times;serif" w:hAnsi="Times New Roman;Times;serif"/>
          <w:b/>
          <w:color w:val="000000"/>
          <w:sz w:val="36"/>
        </w:rPr>
      </w:pPr>
      <w:r>
        <w:rPr>
          <w:rFonts w:ascii="Times New Roman;Times;serif" w:hAnsi="Times New Roman;Times;serif"/>
          <w:b/>
          <w:color w:val="000000"/>
          <w:sz w:val="36"/>
        </w:rPr>
        <w:t>SCHEDULE 14A</w:t>
      </w:r>
    </w:p>
    <w:p>
      <w:pPr>
        <w:pStyle w:val="TextBody"/>
        <w:bidi w:val="0"/>
        <w:spacing w:before="0" w:after="0"/>
        <w:jc w:val="center"/>
        <w:rPr>
          <w:b/>
          <w:color w:val="000000"/>
          <w:sz w:val="28"/>
        </w:rPr>
      </w:pPr>
      <w:r>
        <w:rPr>
          <w:b/>
          <w:color w:val="000000"/>
          <w:sz w:val="28"/>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Proxy Statement Pursuant to Section 14(a)</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of the Securities Exchange Act of 1934 (Amendment No. )</w:t>
      </w:r>
    </w:p>
    <w:p>
      <w:pPr>
        <w:pStyle w:val="TextBody"/>
        <w:bidi w:val="0"/>
        <w:spacing w:before="0" w:after="0"/>
        <w:jc w:val="center"/>
        <w:rPr>
          <w:b/>
          <w:color w:val="000000"/>
        </w:rPr>
      </w:pPr>
      <w:r>
        <w:rPr>
          <w:b/>
          <w:color w:val="000000"/>
        </w:rPr>
      </w:r>
    </w:p>
    <w:p>
      <w:pPr>
        <w:pStyle w:val="HorizontalLine"/>
        <w:pBdr>
          <w:bottom w:val="single" w:sz="12" w:space="0" w:color="808080"/>
        </w:pBdr>
        <w:bidi w:val="0"/>
        <w:jc w:val="center"/>
        <w:rPr/>
      </w:pPr>
      <w:r>
        <w:rPr/>
      </w:r>
    </w:p>
    <w:p>
      <w:pPr>
        <w:pStyle w:val="TextBody"/>
        <w:bidi w:val="0"/>
        <w:spacing w:before="0" w:after="0"/>
        <w:jc w:val="center"/>
        <w:rPr>
          <w:b/>
          <w:color w:val="000000"/>
        </w:rPr>
      </w:pPr>
      <w:r>
        <w:rPr>
          <w:b/>
          <w:color w:val="00000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Filed by the Registrant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Check the appropriate box:</w:t>
      </w:r>
    </w:p>
    <w:p>
      <w:pPr>
        <w:pStyle w:val="Normal"/>
        <w:bidi w:val="0"/>
        <w:spacing w:before="0" w:after="0"/>
        <w:jc w:val="left"/>
        <w:rPr>
          <w:sz w:val="4"/>
          <w:szCs w:val="4"/>
        </w:rPr>
      </w:pPr>
      <w:r>
        <w:rPr>
          <w:sz w:val="4"/>
          <w:szCs w:val="4"/>
        </w:rPr>
      </w:r>
      <w:bookmarkStart w:id="4" w:name="zde08c7ad2eb54a49a936b7ef20c37f3d"/>
      <w:bookmarkStart w:id="5" w:name="zde08c7ad2eb54a49a936b7ef20c37f3d"/>
      <w:bookmarkEnd w:id="5"/>
    </w:p>
    <w:tbl>
      <w:tblPr>
        <w:tblW w:w="8365" w:type="dxa"/>
        <w:jc w:val="left"/>
        <w:tblInd w:w="0" w:type="dxa"/>
        <w:tblLayout w:type="fixed"/>
        <w:tblCellMar>
          <w:top w:w="0" w:type="dxa"/>
          <w:left w:w="0" w:type="dxa"/>
          <w:bottom w:w="0" w:type="dxa"/>
          <w:right w:w="0" w:type="dxa"/>
        </w:tblCellMar>
      </w:tblPr>
      <w:tblGrid>
        <w:gridCol w:w="275"/>
        <w:gridCol w:w="8090"/>
      </w:tblGrid>
      <w:tr>
        <w:trPr/>
        <w:tc>
          <w:tcPr>
            <w:tcW w:w="275" w:type="dxa"/>
            <w:tcBorders/>
            <w:vAlign w:val="center"/>
          </w:tcPr>
          <w:p>
            <w:pPr>
              <w:pStyle w:val="TableContents"/>
              <w:bidi w:val="0"/>
              <w:spacing w:before="0" w:after="0"/>
              <w:jc w:val="left"/>
              <w:rPr>
                <w:color w:val="000000"/>
              </w:rPr>
            </w:pPr>
            <w:r>
              <w:rPr>
                <w:color w:val="000000"/>
              </w:rPr>
              <w:t> ☐</w:t>
            </w:r>
          </w:p>
        </w:tc>
        <w:tc>
          <w:tcPr>
            <w:tcW w:w="8090" w:type="dxa"/>
            <w:tcBorders/>
            <w:vAlign w:val="center"/>
          </w:tcPr>
          <w:p>
            <w:pPr>
              <w:pStyle w:val="TableContents"/>
              <w:bidi w:val="0"/>
              <w:spacing w:before="0" w:after="0"/>
              <w:jc w:val="left"/>
              <w:rPr>
                <w:color w:val="000000"/>
              </w:rPr>
            </w:pPr>
            <w:r>
              <w:rPr>
                <w:color w:val="000000"/>
              </w:rPr>
              <w:t>Preliminary Proxy Statement</w:t>
            </w:r>
          </w:p>
        </w:tc>
      </w:tr>
      <w:tr>
        <w:trPr/>
        <w:tc>
          <w:tcPr>
            <w:tcW w:w="275" w:type="dxa"/>
            <w:tcBorders/>
            <w:vAlign w:val="center"/>
          </w:tcPr>
          <w:p>
            <w:pPr>
              <w:pStyle w:val="TableContents"/>
              <w:bidi w:val="0"/>
              <w:spacing w:before="0" w:after="0"/>
              <w:jc w:val="left"/>
              <w:rPr>
                <w:color w:val="000000"/>
              </w:rPr>
            </w:pPr>
            <w:r>
              <w:rPr>
                <w:color w:val="000000"/>
              </w:rPr>
              <w:t> ☐</w:t>
            </w:r>
          </w:p>
        </w:tc>
        <w:tc>
          <w:tcPr>
            <w:tcW w:w="8090" w:type="dxa"/>
            <w:tcBorders/>
            <w:vAlign w:val="center"/>
          </w:tcPr>
          <w:p>
            <w:pPr>
              <w:pStyle w:val="TableContents"/>
              <w:bidi w:val="0"/>
              <w:spacing w:before="0" w:after="0"/>
              <w:jc w:val="left"/>
              <w:rPr>
                <w:b/>
                <w:color w:val="000000"/>
              </w:rPr>
            </w:pPr>
            <w:r>
              <w:rPr>
                <w:b/>
                <w:color w:val="000000"/>
              </w:rPr>
              <w:t>Confidential, for Use of the Commission Only (as permitted by Rule 14a-6(e)(2))</w:t>
            </w:r>
          </w:p>
        </w:tc>
      </w:tr>
      <w:tr>
        <w:trPr/>
        <w:tc>
          <w:tcPr>
            <w:tcW w:w="275" w:type="dxa"/>
            <w:tcBorders/>
            <w:vAlign w:val="center"/>
          </w:tcPr>
          <w:p>
            <w:pPr>
              <w:pStyle w:val="TableContents"/>
              <w:bidi w:val="0"/>
              <w:spacing w:before="0" w:after="0"/>
              <w:jc w:val="left"/>
              <w:rPr>
                <w:color w:val="000000"/>
              </w:rPr>
            </w:pPr>
            <w:r>
              <w:rPr>
                <w:color w:val="000000"/>
              </w:rPr>
              <w:t> ☐</w:t>
            </w:r>
          </w:p>
        </w:tc>
        <w:tc>
          <w:tcPr>
            <w:tcW w:w="8090" w:type="dxa"/>
            <w:tcBorders/>
            <w:vAlign w:val="center"/>
          </w:tcPr>
          <w:p>
            <w:pPr>
              <w:pStyle w:val="TableContents"/>
              <w:bidi w:val="0"/>
              <w:spacing w:before="0" w:after="0"/>
              <w:jc w:val="left"/>
              <w:rPr>
                <w:color w:val="000000"/>
              </w:rPr>
            </w:pPr>
            <w:r>
              <w:rPr>
                <w:color w:val="000000"/>
              </w:rPr>
              <w:t>Definitive Proxy Statement</w:t>
            </w:r>
          </w:p>
        </w:tc>
      </w:tr>
      <w:tr>
        <w:trPr/>
        <w:tc>
          <w:tcPr>
            <w:tcW w:w="275" w:type="dxa"/>
            <w:tcBorders/>
            <w:vAlign w:val="center"/>
          </w:tcPr>
          <w:p>
            <w:pPr>
              <w:pStyle w:val="TableContents"/>
              <w:bidi w:val="0"/>
              <w:spacing w:before="0" w:after="0"/>
              <w:jc w:val="left"/>
              <w:rPr>
                <w:color w:val="000000"/>
              </w:rPr>
            </w:pPr>
            <w:r>
              <w:rPr>
                <w:color w:val="000000"/>
              </w:rPr>
              <w:t>☒</w:t>
            </w:r>
          </w:p>
        </w:tc>
        <w:tc>
          <w:tcPr>
            <w:tcW w:w="8090" w:type="dxa"/>
            <w:tcBorders/>
            <w:vAlign w:val="center"/>
          </w:tcPr>
          <w:p>
            <w:pPr>
              <w:pStyle w:val="TableContents"/>
              <w:bidi w:val="0"/>
              <w:spacing w:before="0" w:after="0"/>
              <w:jc w:val="left"/>
              <w:rPr>
                <w:color w:val="000000"/>
              </w:rPr>
            </w:pPr>
            <w:r>
              <w:rPr>
                <w:color w:val="000000"/>
              </w:rPr>
              <w:t>Definitive Additional Materials</w:t>
            </w:r>
          </w:p>
        </w:tc>
      </w:tr>
      <w:tr>
        <w:trPr/>
        <w:tc>
          <w:tcPr>
            <w:tcW w:w="275" w:type="dxa"/>
            <w:tcBorders/>
            <w:vAlign w:val="center"/>
          </w:tcPr>
          <w:p>
            <w:pPr>
              <w:pStyle w:val="TableContents"/>
              <w:bidi w:val="0"/>
              <w:spacing w:before="0" w:after="0"/>
              <w:jc w:val="left"/>
              <w:rPr>
                <w:color w:val="000000"/>
              </w:rPr>
            </w:pPr>
            <w:r>
              <w:rPr>
                <w:color w:val="000000"/>
              </w:rPr>
              <w:t> ☐</w:t>
            </w:r>
          </w:p>
        </w:tc>
        <w:tc>
          <w:tcPr>
            <w:tcW w:w="8090" w:type="dxa"/>
            <w:tcBorders/>
            <w:vAlign w:val="center"/>
          </w:tcPr>
          <w:p>
            <w:pPr>
              <w:pStyle w:val="TableContents"/>
              <w:bidi w:val="0"/>
              <w:spacing w:before="0" w:after="0"/>
              <w:jc w:val="left"/>
              <w:rPr>
                <w:color w:val="000000"/>
              </w:rPr>
            </w:pPr>
            <w:r>
              <w:rPr>
                <w:color w:val="000000"/>
              </w:rPr>
              <w:t>Soliciting Material under §240.14a-12</w:t>
            </w:r>
          </w:p>
        </w:tc>
      </w:tr>
    </w:tbl>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30480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48000" cy="62865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363d63ca13e342e28eadd517ee0d0b55"/>
      <w:bookmarkStart w:id="7" w:name="z363d63ca13e342e28eadd517ee0d0b55"/>
      <w:bookmarkEnd w:id="7"/>
    </w:p>
    <w:tbl>
      <w:tblPr>
        <w:tblW w:w="7520" w:type="dxa"/>
        <w:jc w:val="left"/>
        <w:tblInd w:w="0" w:type="dxa"/>
        <w:tblLayout w:type="fixed"/>
        <w:tblCellMar>
          <w:top w:w="0" w:type="dxa"/>
          <w:left w:w="0" w:type="dxa"/>
          <w:bottom w:w="0" w:type="dxa"/>
          <w:right w:w="0" w:type="dxa"/>
        </w:tblCellMar>
      </w:tblPr>
      <w:tblGrid>
        <w:gridCol w:w="7520"/>
      </w:tblGrid>
      <w:tr>
        <w:trPr/>
        <w:tc>
          <w:tcPr>
            <w:tcW w:w="7520" w:type="dxa"/>
            <w:tcBorders/>
            <w:vAlign w:val="center"/>
          </w:tcPr>
          <w:p>
            <w:pPr>
              <w:pStyle w:val="TableContents"/>
              <w:bidi w:val="0"/>
              <w:spacing w:before="0" w:after="0"/>
              <w:jc w:val="center"/>
              <w:rPr>
                <w:rFonts w:ascii="Times New Roman;Times;serif" w:hAnsi="Times New Roman;Times;serif"/>
                <w:b/>
                <w:color w:val="000000"/>
                <w:sz w:val="48"/>
              </w:rPr>
            </w:pPr>
            <w:r>
              <w:rPr>
                <w:rFonts w:ascii="Times New Roman;Times;serif" w:hAnsi="Times New Roman;Times;serif"/>
                <w:b/>
                <w:color w:val="000000"/>
                <w:sz w:val="48"/>
              </w:rPr>
              <w:t>SYNAPTICS INCORPORATED</w:t>
            </w:r>
          </w:p>
        </w:tc>
      </w:tr>
      <w:tr>
        <w:trPr/>
        <w:tc>
          <w:tcPr>
            <w:tcW w:w="7520" w:type="dxa"/>
            <w:tcBorders/>
            <w:vAlign w:val="center"/>
          </w:tcPr>
          <w:p>
            <w:pPr>
              <w:pStyle w:val="TableContents"/>
              <w:bidi w:val="0"/>
              <w:spacing w:before="0" w:after="0"/>
              <w:jc w:val="center"/>
              <w:rPr>
                <w:b/>
                <w:color w:val="000000"/>
              </w:rPr>
            </w:pPr>
            <w:r>
              <w:rPr>
                <w:b/>
                <w:color w:val="000000"/>
              </w:rPr>
              <w:t>(Name of Registrant as Specified in Its Charter)</w:t>
            </w:r>
          </w:p>
        </w:tc>
      </w:tr>
      <w:tr>
        <w:trPr/>
        <w:tc>
          <w:tcPr>
            <w:tcW w:w="7520" w:type="dxa"/>
            <w:tcBorders/>
            <w:vAlign w:val="center"/>
          </w:tcPr>
          <w:p>
            <w:pPr>
              <w:pStyle w:val="TableContents"/>
              <w:bidi w:val="0"/>
              <w:spacing w:before="0" w:after="0"/>
              <w:jc w:val="left"/>
              <w:rPr>
                <w:color w:val="000000"/>
              </w:rPr>
            </w:pPr>
            <w:r>
              <w:rPr>
                <w:color w:val="000000"/>
              </w:rPr>
              <w:t> </w:t>
            </w:r>
          </w:p>
        </w:tc>
      </w:tr>
      <w:tr>
        <w:trPr/>
        <w:tc>
          <w:tcPr>
            <w:tcW w:w="7520" w:type="dxa"/>
            <w:tcBorders/>
            <w:vAlign w:val="center"/>
          </w:tcPr>
          <w:p>
            <w:pPr>
              <w:pStyle w:val="TableContents"/>
              <w:bidi w:val="0"/>
              <w:spacing w:before="0" w:after="0"/>
              <w:jc w:val="center"/>
              <w:rPr>
                <w:b/>
                <w:color w:val="000000"/>
              </w:rPr>
            </w:pPr>
            <w:r>
              <w:rPr>
                <w:b/>
                <w:color w:val="000000"/>
              </w:rPr>
              <w:t>N/A</w:t>
            </w:r>
          </w:p>
        </w:tc>
      </w:tr>
      <w:tr>
        <w:trPr/>
        <w:tc>
          <w:tcPr>
            <w:tcW w:w="7520" w:type="dxa"/>
            <w:tcBorders/>
            <w:vAlign w:val="center"/>
          </w:tcPr>
          <w:p>
            <w:pPr>
              <w:pStyle w:val="TableContents"/>
              <w:bidi w:val="0"/>
              <w:spacing w:before="0" w:after="283"/>
              <w:jc w:val="left"/>
              <w:rPr/>
            </w:pPr>
            <w:r>
              <w:rPr/>
              <w:t> </w:t>
            </w:r>
          </w:p>
        </w:tc>
      </w:tr>
      <w:tr>
        <w:trPr/>
        <w:tc>
          <w:tcPr>
            <w:tcW w:w="7520" w:type="dxa"/>
            <w:tcBorders/>
            <w:vAlign w:val="center"/>
          </w:tcPr>
          <w:p>
            <w:pPr>
              <w:pStyle w:val="TableContents"/>
              <w:bidi w:val="0"/>
              <w:spacing w:before="0" w:after="0"/>
              <w:jc w:val="center"/>
              <w:rPr>
                <w:b/>
                <w:color w:val="000000"/>
              </w:rPr>
            </w:pPr>
            <w:r>
              <w:rPr>
                <w:b/>
                <w:color w:val="000000"/>
              </w:rPr>
              <w:t>(Name of Person(s) Filing Proxy Statement, If Other Than the Registrant)</w:t>
            </w:r>
          </w:p>
        </w:tc>
      </w:tr>
      <w:tr>
        <w:trPr/>
        <w:tc>
          <w:tcPr>
            <w:tcW w:w="7520" w:type="dxa"/>
            <w:tcBorders/>
            <w:vAlign w:val="center"/>
          </w:tcPr>
          <w:p>
            <w:pPr>
              <w:pStyle w:val="TableContents"/>
              <w:bidi w:val="0"/>
              <w:spacing w:before="0" w:after="0"/>
              <w:jc w:val="left"/>
              <w:rPr/>
            </w:pPr>
            <w:r>
              <w:rPr/>
              <w:t> </w:t>
            </w:r>
          </w:p>
        </w:tc>
      </w:tr>
    </w:tbl>
    <w:p>
      <w:pPr>
        <w:pStyle w:val="TextBody"/>
        <w:bidi w:val="0"/>
        <w:spacing w:before="0" w:after="0"/>
        <w:jc w:val="left"/>
        <w:rPr>
          <w:color w:val="000000"/>
        </w:rPr>
      </w:pPr>
      <w:r>
        <w:rPr>
          <w:color w:val="00000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Payment of Filing Fee (Check all boxes that apply):</w:t>
      </w:r>
    </w:p>
    <w:p>
      <w:pPr>
        <w:pStyle w:val="Normal"/>
        <w:bidi w:val="0"/>
        <w:spacing w:before="0" w:after="0"/>
        <w:jc w:val="left"/>
        <w:rPr>
          <w:sz w:val="4"/>
          <w:szCs w:val="4"/>
        </w:rPr>
      </w:pPr>
      <w:r>
        <w:rPr>
          <w:sz w:val="4"/>
          <w:szCs w:val="4"/>
        </w:rPr>
      </w:r>
      <w:bookmarkStart w:id="8" w:name="zc25e3cbc061047478132bcef44804952"/>
      <w:bookmarkStart w:id="9" w:name="zc25e3cbc061047478132bcef44804952"/>
      <w:bookmarkEnd w:id="9"/>
    </w:p>
    <w:tbl>
      <w:tblPr>
        <w:tblW w:w="9925" w:type="dxa"/>
        <w:jc w:val="left"/>
        <w:tblInd w:w="0" w:type="dxa"/>
        <w:tblLayout w:type="fixed"/>
        <w:tblCellMar>
          <w:top w:w="0" w:type="dxa"/>
          <w:left w:w="0" w:type="dxa"/>
          <w:bottom w:w="0" w:type="dxa"/>
          <w:right w:w="0" w:type="dxa"/>
        </w:tblCellMar>
      </w:tblPr>
      <w:tblGrid>
        <w:gridCol w:w="275"/>
        <w:gridCol w:w="9650"/>
      </w:tblGrid>
      <w:tr>
        <w:trPr/>
        <w:tc>
          <w:tcPr>
            <w:tcW w:w="275" w:type="dxa"/>
            <w:tcBorders/>
            <w:vAlign w:val="center"/>
          </w:tcPr>
          <w:p>
            <w:pPr>
              <w:pStyle w:val="TableContents"/>
              <w:bidi w:val="0"/>
              <w:spacing w:before="0" w:after="0"/>
              <w:jc w:val="left"/>
              <w:rPr>
                <w:color w:val="000000"/>
              </w:rPr>
            </w:pPr>
            <w:r>
              <w:rPr>
                <w:color w:val="000000"/>
              </w:rPr>
              <w:t>☒</w:t>
            </w:r>
          </w:p>
        </w:tc>
        <w:tc>
          <w:tcPr>
            <w:tcW w:w="9650" w:type="dxa"/>
            <w:tcBorders/>
            <w:vAlign w:val="center"/>
          </w:tcPr>
          <w:p>
            <w:pPr>
              <w:pStyle w:val="TableContents"/>
              <w:bidi w:val="0"/>
              <w:spacing w:before="0" w:after="0"/>
              <w:jc w:val="left"/>
              <w:rPr>
                <w:color w:val="000000"/>
              </w:rPr>
            </w:pPr>
            <w:r>
              <w:rPr>
                <w:color w:val="000000"/>
              </w:rPr>
              <w:t>No fee required</w:t>
            </w:r>
          </w:p>
        </w:tc>
      </w:tr>
      <w:tr>
        <w:trPr/>
        <w:tc>
          <w:tcPr>
            <w:tcW w:w="275" w:type="dxa"/>
            <w:tcBorders/>
            <w:vAlign w:val="center"/>
          </w:tcPr>
          <w:p>
            <w:pPr>
              <w:pStyle w:val="TableContents"/>
              <w:bidi w:val="0"/>
              <w:spacing w:before="0" w:after="0"/>
              <w:jc w:val="left"/>
              <w:rPr>
                <w:color w:val="000000"/>
              </w:rPr>
            </w:pPr>
            <w:r>
              <w:rPr>
                <w:color w:val="000000"/>
              </w:rPr>
              <w:t> ☐</w:t>
            </w:r>
          </w:p>
        </w:tc>
        <w:tc>
          <w:tcPr>
            <w:tcW w:w="9650" w:type="dxa"/>
            <w:tcBorders/>
            <w:vAlign w:val="center"/>
          </w:tcPr>
          <w:p>
            <w:pPr>
              <w:pStyle w:val="TableContents"/>
              <w:bidi w:val="0"/>
              <w:spacing w:before="0" w:after="0"/>
              <w:jc w:val="left"/>
              <w:rPr>
                <w:color w:val="000000"/>
              </w:rPr>
            </w:pPr>
            <w:r>
              <w:rPr>
                <w:color w:val="000000"/>
              </w:rPr>
              <w:t>Fee paid previously with preliminary materials</w:t>
            </w:r>
          </w:p>
        </w:tc>
      </w:tr>
      <w:tr>
        <w:trPr/>
        <w:tc>
          <w:tcPr>
            <w:tcW w:w="275" w:type="dxa"/>
            <w:tcBorders/>
            <w:vAlign w:val="center"/>
          </w:tcPr>
          <w:p>
            <w:pPr>
              <w:pStyle w:val="TableContents"/>
              <w:bidi w:val="0"/>
              <w:spacing w:before="0" w:after="0"/>
              <w:jc w:val="left"/>
              <w:rPr>
                <w:color w:val="000000"/>
              </w:rPr>
            </w:pPr>
            <w:r>
              <w:rPr>
                <w:color w:val="000000"/>
              </w:rPr>
              <w:t> ☐</w:t>
            </w:r>
          </w:p>
        </w:tc>
        <w:tc>
          <w:tcPr>
            <w:tcW w:w="9650" w:type="dxa"/>
            <w:tcBorders/>
            <w:vAlign w:val="center"/>
          </w:tcPr>
          <w:p>
            <w:pPr>
              <w:pStyle w:val="TableContents"/>
              <w:bidi w:val="0"/>
              <w:spacing w:before="0" w:after="0"/>
              <w:jc w:val="left"/>
              <w:rPr>
                <w:color w:val="000000"/>
              </w:rPr>
            </w:pPr>
            <w:r>
              <w:rPr>
                <w:color w:val="000000"/>
              </w:rPr>
              <w:t>Fee computed on table in exhibit required by Item 25(b) per Exchange Act Rules 14a-6(i)(1) and 0-11</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widowControl/>
        <w:bidi w:val="0"/>
        <w:spacing w:before="0" w:after="0"/>
        <w:ind w:left="0" w:right="0" w:hanging="0"/>
        <w:jc w:val="both"/>
        <w:rPr>
          <w:rFonts w:ascii="Times New Roman;Times;serif" w:hAnsi="Times New Roman;Times;serif"/>
          <w:b/>
          <w:i/>
          <w:color w:val="000000"/>
          <w:spacing w:val="0"/>
          <w:sz w:val="20"/>
        </w:rPr>
      </w:pPr>
      <w:r>
        <w:rPr>
          <w:rFonts w:ascii="Times New Roman;Times;serif" w:hAnsi="Times New Roman;Times;serif"/>
          <w:b/>
          <w:i/>
          <w:color w:val="000000"/>
          <w:spacing w:val="0"/>
          <w:sz w:val="20"/>
        </w:rPr>
        <w:t>The following is the cover page of the definitive proxy statement that was first mailed to the stockholders of Synaptics Incorporated (“Synaptics”) on or about October 19, 2026, in connection with the pending acquisition of Synaptics by ON Semiconductor Corporation:</w:t>
      </w:r>
    </w:p>
    <w:p>
      <w:pPr>
        <w:pStyle w:val="TextBody"/>
        <w:widowControl/>
        <w:bidi w:val="0"/>
        <w:spacing w:before="0" w:after="0"/>
        <w:ind w:left="0" w:right="0" w:hanging="0"/>
        <w:jc w:val="both"/>
        <w:rPr>
          <w:b/>
          <w:i/>
          <w:color w:val="000000"/>
          <w:spacing w:val="0"/>
          <w:sz w:val="20"/>
        </w:rPr>
      </w:pPr>
      <w:r>
        <w:rPr>
          <w:b/>
          <w:i/>
          <w:color w:val="000000"/>
          <w:spacing w:val="0"/>
          <w:sz w:val="20"/>
        </w:rPr>
      </w:r>
    </w:p>
    <w:p>
      <w:pPr>
        <w:pStyle w:val="TextBody"/>
        <w:bidi w:val="0"/>
        <w:spacing w:before="0" w:after="0"/>
        <w:ind w:left="0" w:right="0" w:hanging="0"/>
        <w:jc w:val="center"/>
        <w:rPr>
          <w:color w:val="000000"/>
          <w:spacing w:val="0"/>
          <w:shd w:fill="FFFFFF" w:val="clear"/>
        </w:rPr>
      </w:pPr>
      <w:r>
        <w:rPr>
          <w:color w:val="000000"/>
          <w:spacing w:val="0"/>
          <w:shd w:fill="FFFFFF" w:val="clear"/>
        </w:rPr>
        <w:drawing>
          <wp:inline distT="0" distB="0" distL="0" distR="0">
            <wp:extent cx="7715250" cy="10048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15250" cy="10048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715250" cy="10048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715250" cy="10048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175</Words>
  <Characters>958</Characters>
  <CharactersWithSpaces>1113</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