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176319.xml.htm"/>
      <w:bookmarkStart w:id="1" w:name="kswkform4a_17871763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Bodensteiner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1109 MCKAY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SYNAPTICS Inc</w:t>
              </w:r>
            </w:hyperlink>
            <w:r>
              <w:rPr/>
              <w:t xml:space="preserve"> [ </w:t>
            </w:r>
            <w:r>
              <w:rPr>
                <w:rFonts w:ascii="Times;serif" w:hAnsi="Times;serif"/>
                <w:color w:val="0000FF"/>
                <w:sz w:val="24"/>
                <w:shd w:fill="FFFFFF" w:val="clear"/>
              </w:rPr>
              <w:t>SYNA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08/19/2025</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81,654</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corrects the Amount of Securities Beneficially Owned as shown on the Form 4 filed by the reporting person on August 19, 2025 and subsequent filings to remove 3,313 performance stock units that were inadvertently included due to an administrative error. The performance stock units were not earned because the applicable performance goals were not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Chief Legal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Pamela Fields,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272" TargetMode="External"/><Relationship Id="rId5" Type="http://schemas.openxmlformats.org/officeDocument/2006/relationships/hyperlink" Target="http://www.sec.gov/cgi-bin/browse-edgar?action=getcompany&amp;CIK=000081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3445</Characters>
  <CharactersWithSpaces>4010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