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20,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SYNAPTICS INCORPORATED</w:t>
      </w:r>
    </w:p>
    <w:p>
      <w:pPr>
        <w:pStyle w:val="TextBody"/>
        <w:bidi w:val="0"/>
        <w:spacing w:lineRule="auto" w:line="288" w:before="4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000-49602</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77-0118518</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1109 McKay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95131</w:t>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408</w:t>
      </w:r>
      <w:r>
        <w:rPr>
          <w:color w:val="000000"/>
        </w:rPr>
        <w:t xml:space="preserve"> </w:t>
      </w:r>
      <w:r>
        <w:rPr>
          <w:rFonts w:ascii="Times New Roman;serif" w:hAnsi="Times New Roman;serif"/>
          <w:b/>
          <w:color w:val="000000"/>
          <w:sz w:val="20"/>
        </w:rPr>
        <w:t>904-1100</w:t>
      </w:r>
    </w:p>
    <w:p>
      <w:pPr>
        <w:pStyle w:val="TextBody"/>
        <w:bidi w:val="0"/>
        <w:spacing w:lineRule="auto" w:line="276"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SYNA</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20, 2026, Ken Rizvi resigned from his position as the Chief Financial Officer of Synaptics Incorporated (the “Company”), effective immediately, to pursue a new opportunity. Mr. Rizvi will remain employed with the Company in an advisory role through September 30, 2026 to assist with the transition of his responsibilities, and he will continue to receive his current compensation and benefits until his employment terminates. Mr. Rizvi’s resignation was not due to any disagreement with the Company on any matter relating to the Company’s operations, accounting or other policies, or practices. </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elected not to conduct a search at this time for a successor Chief Financial Officer due to the announcement on June 25, 2026 of the pending merger between the Company and ON Semiconductor Corporation (the "Merger"). Instead, effective upon Mr. Rizvi’s resignation as Chief Financial Officer, Rahul Patel, President and Chief Executive Officer of the Company, serves as the Company’s principal financial officer through the closing of the Merger. Mr. Patel will not receive any additional compensation for this interim role. Mr. Patel’s biographical information has been previously disclosed in the Company’s proxy statement for its 2025 annual meeting of stockholders, as filed with the Securities and Exchange Commission on September 16, 2025, which information is incorporated herein by reference.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21, 2026, the Company issued a press release regarding the events described in Item 5.02. A copy of the press release is furnished herewith as Exhibit 99.1 and is incorporated herein by reference.</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is furnished pursuant to Item 7.01 and shall not be deemed “filed” for the purposes of Section 18 of the Securities Exchange Act of 1934, as amended, or otherwise subject to the liabilities of that section, nor shall it be incorporated by reference into any registration document or other document filed by the Company.</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and Section 21E of the Exchange Act.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both"/>
        <w:rPr/>
      </w:pPr>
      <w:r>
        <w:rPr/>
      </w:r>
    </w:p>
    <w:p>
      <w:pPr>
        <w:pStyle w:val="TextBody"/>
        <w:bidi w:val="0"/>
        <w:spacing w:lineRule="auto" w:line="276"/>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about the Transaction and Where To Find It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serif" w:hAnsi="Times New Roman;serif"/>
          <w:b w:val="false"/>
          <w:color w:val="000000"/>
          <w:sz w:val="20"/>
          <w:u w:val="single"/>
        </w:rPr>
        <w:t>www.sec.gov</w:t>
      </w:r>
      <w:r>
        <w:rPr>
          <w:rFonts w:ascii="Times New Roman;serif" w:hAnsi="Times New Roman;serif"/>
          <w:b w:val="false"/>
          <w:color w:val="000000"/>
          <w:sz w:val="20"/>
        </w:rPr>
        <w:t xml:space="preserve">). In addition, investors and stockholders will be able to obtain free copies of the proxy statement/prospectus and other documents filed with the SEC by the parties on Synaptics Investor Relations at </w:t>
      </w:r>
      <w:r>
        <w:rPr>
          <w:rFonts w:ascii="Times New Roman;serif" w:hAnsi="Times New Roman;serif"/>
          <w:b w:val="false"/>
          <w:color w:val="000000"/>
          <w:sz w:val="20"/>
          <w:u w:val="single"/>
        </w:rPr>
        <w:t>https://investor.synaptics.com/</w:t>
      </w:r>
      <w:r>
        <w:rPr>
          <w:color w:val="000000"/>
        </w:rPr>
        <w:t xml:space="preserve"> </w:t>
      </w:r>
      <w:r>
        <w:rPr>
          <w:rFonts w:ascii="Times New Roman;serif" w:hAnsi="Times New Roman;serif"/>
          <w:b w:val="false"/>
          <w:color w:val="000000"/>
          <w:sz w:val="20"/>
        </w:rPr>
        <w:t xml:space="preserve">(for documents filed with the SEC by Synaptics) or onsemi Investor Relations at </w:t>
      </w:r>
      <w:r>
        <w:rPr>
          <w:rFonts w:ascii="Times New Roman;serif" w:hAnsi="Times New Roman;serif"/>
          <w:b w:val="false"/>
          <w:color w:val="000000"/>
          <w:sz w:val="20"/>
          <w:u w:val="single"/>
        </w:rPr>
        <w:t>https://investor.onsemi.com/</w:t>
      </w:r>
      <w:r>
        <w:rPr>
          <w:color w:val="000000"/>
        </w:rPr>
        <w:t xml:space="preserve"> </w:t>
      </w:r>
      <w:r>
        <w:rPr>
          <w:rFonts w:ascii="Times New Roman;serif" w:hAnsi="Times New Roman;serif"/>
          <w:b w:val="false"/>
          <w:color w:val="000000"/>
          <w:sz w:val="20"/>
        </w:rPr>
        <w:t>(for documents filed with the SEC by onsemi).</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both"/>
        <w:rPr/>
      </w:pPr>
      <w:r>
        <w:rPr/>
      </w:r>
    </w:p>
    <w:p>
      <w:pPr>
        <w:pStyle w:val="TextBody"/>
        <w:bidi w:val="0"/>
        <w:spacing w:lineRule="auto" w:line="276"/>
        <w:jc w:val="both"/>
        <w:rPr/>
      </w:pPr>
      <w:r>
        <w:rPr>
          <w:rFonts w:ascii="Times New Roman;serif" w:hAnsi="Times New Roman;serif"/>
          <w:b w:val="false"/>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2">
        <w:r>
          <w:rPr>
            <w:rStyle w:val="InternetLink"/>
            <w:rFonts w:ascii="Times New Roman;serif" w:hAnsi="Times New Roman;serif"/>
            <w:b w:val="false"/>
            <w:color w:val="000000"/>
            <w:sz w:val="20"/>
            <w:u w:val="single"/>
          </w:rPr>
          <w:t>September 16, 2025</w:t>
        </w:r>
      </w:hyperlink>
      <w:r>
        <w:rPr>
          <w:rFonts w:ascii="Times New Roman;serif" w:hAnsi="Times New Roman;serif"/>
          <w:b w:val="false"/>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serif" w:hAnsi="Times New Roman;serif"/>
          <w:b w:val="false"/>
          <w:color w:val="000000"/>
          <w:sz w:val="20"/>
          <w:u w:val="single"/>
        </w:rPr>
        <w:t>https://www.sec.gov/edgar/browse/?CIK=817720&amp;owner=exclude</w:t>
      </w:r>
      <w:r>
        <w:rPr>
          <w:color w:val="000000"/>
        </w:rPr>
        <w:t xml:space="preserve"> </w:t>
      </w:r>
      <w:r>
        <w:rPr>
          <w:rFonts w:ascii="Times New Roman;serif" w:hAnsi="Times New Roman;serif"/>
          <w:b w:val="false"/>
          <w:color w:val="000000"/>
          <w:sz w:val="20"/>
        </w:rPr>
        <w:t xml:space="preserve">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Fonts w:ascii="Times New Roman;serif" w:hAnsi="Times New Roman;serif"/>
            <w:b w:val="false"/>
            <w:color w:val="000000"/>
            <w:sz w:val="20"/>
            <w:u w:val="single"/>
          </w:rPr>
          <w:t>April 2, 2026</w:t>
        </w:r>
      </w:hyperlink>
      <w:r>
        <w:rPr>
          <w:rFonts w:ascii="Times New Roman;serif" w:hAnsi="Times New Roman;serif"/>
          <w:b w:val="false"/>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serif" w:hAnsi="Times New Roman;serif"/>
          <w:b w:val="false"/>
          <w:color w:val="000000"/>
          <w:sz w:val="20"/>
          <w:u w:val="single"/>
        </w:rPr>
        <w:t>https://www.sec.gov/edgar/browse/?CIK=1097864&amp;owner=exclude</w:t>
      </w:r>
      <w:r>
        <w:rPr>
          <w:color w:val="000000"/>
        </w:rPr>
        <w:t xml:space="preserve"> </w:t>
      </w:r>
      <w:r>
        <w:rPr>
          <w:rFonts w:ascii="Times New Roman;serif" w:hAnsi="Times New Roman;serif"/>
          <w:b w:val="false"/>
          <w:color w:val="000000"/>
          <w:sz w:val="20"/>
        </w:rPr>
        <w:t>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2"/>
        <w:gridCol w:w="423"/>
        <w:gridCol w:w="425"/>
        <w:gridCol w:w="109"/>
        <w:gridCol w:w="109"/>
        <w:gridCol w:w="109"/>
        <w:gridCol w:w="2492"/>
        <w:gridCol w:w="2492"/>
        <w:gridCol w:w="3564"/>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ynaptics_cfotransitionxau.htm">
              <w:r>
                <w:rPr>
                  <w:rStyle w:val="InternetLink"/>
                  <w:rFonts w:ascii="Times New Roman;serif" w:hAnsi="Times New Roman;serif"/>
                  <w:b w:val="false"/>
                  <w:color w:val="0000FF"/>
                  <w:sz w:val="20"/>
                  <w:u w:val="single"/>
                </w:rPr>
                <w:t>Press release from Synaptics Incorporated, dated August 21, 2026, titled "Synaptics Announces Chief Financial Officer Transition"</w:t>
              </w:r>
            </w:hyperlink>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3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49"/>
        <w:gridCol w:w="149"/>
        <w:gridCol w:w="151"/>
        <w:gridCol w:w="1369"/>
        <w:gridCol w:w="1369"/>
        <w:gridCol w:w="19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SYNAPTICS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Lisa Bodensteiner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Lisa Bodensteiner</w:t>
              <w:br/>
              <w:t>Senior Vice President, 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1049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12121"/>
          <w:sz w:val="28"/>
          <w:shd w:fill="FFFFFF" w:val="clear"/>
        </w:rPr>
      </w:pPr>
      <w:r>
        <w:rPr>
          <w:rFonts w:ascii="Times New Roman;serif" w:hAnsi="Times New Roman;serif"/>
          <w:b/>
          <w:color w:val="212121"/>
          <w:sz w:val="28"/>
          <w:shd w:fill="FFFFFF" w:val="clear"/>
        </w:rPr>
        <w:t>Synaptics Announces Chief Financial Officer Transition</w:t>
      </w:r>
    </w:p>
    <w:p>
      <w:pPr>
        <w:pStyle w:val="TextBody"/>
        <w:bidi w:val="0"/>
        <w:spacing w:before="0" w:after="160"/>
        <w:jc w:val="left"/>
        <w:rPr/>
      </w:pPr>
      <w:r>
        <w:rPr/>
      </w:r>
    </w:p>
    <w:p>
      <w:pPr>
        <w:pStyle w:val="TextBody"/>
        <w:bidi w:val="0"/>
        <w:spacing w:lineRule="auto" w:line="300" w:before="0" w:after="160"/>
        <w:jc w:val="both"/>
        <w:rPr/>
      </w:pPr>
      <w:r>
        <w:rPr>
          <w:rFonts w:ascii="Times New Roman;serif" w:hAnsi="Times New Roman;serif"/>
          <w:b/>
          <w:color w:val="000000"/>
          <w:sz w:val="22"/>
        </w:rPr>
        <w:t>San Jose, CA, August 21, 2026 –</w:t>
      </w:r>
      <w:r>
        <w:rPr>
          <w:color w:val="000000"/>
        </w:rPr>
        <w:t xml:space="preserve"> </w:t>
      </w:r>
      <w:r>
        <w:rPr>
          <w:rFonts w:ascii="Times New Roman;serif" w:hAnsi="Times New Roman;serif"/>
          <w:b w:val="false"/>
          <w:color w:val="000000"/>
          <w:sz w:val="22"/>
        </w:rPr>
        <w:t>Synaptics® Incorporated (Nasdaq: SYNA) today announced that Ken Rizvi has resigned from his position as Chief Financial Officer, effective immediately, to pursue another opportunity. Mr. Rizvi will remain employed in an advisory role through September 30, 2026, to assist with the transition of his responsibilities.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Synaptics has elected not to conduct a search at this time for a successor CFO due to the announcement on June 25, 2026 of the pending merger between Synaptics and onsemi. Rahul Patel, President and CEO, will serve as the principal financial officer through the closing of the merger.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Mr. Kermit Nolan, Synaptics' former Chief Accounting Officer, is returning as a consultant to advise the internal team through the transition. Over his 20-year tenure, he held several roles at the company, including acting CFO.</w:t>
        <w:br/>
        <w:br/>
        <w:t>“Synaptics has a strong and experienced finance organization, and we are confident in the team’s ability to ensure continuity through the pending transaction,” said Rahul Patel, President and CEO, Synaptics. “Our strategic priorities and focus on driving success across Edge AI and Physical AI markets remain unchanged. I would like to thank Ken for his contributions to our success over the past few years and wish him the best in his new role.”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Synaptics Incorporated</w:t>
      </w:r>
    </w:p>
    <w:p>
      <w:pPr>
        <w:pStyle w:val="TextBody"/>
        <w:bidi w:val="0"/>
        <w:spacing w:lineRule="auto" w:line="288" w:before="0" w:after="0"/>
        <w:jc w:val="both"/>
        <w:rPr/>
      </w:pPr>
      <w:r>
        <w:rPr>
          <w:rFonts w:ascii="Times New Roman;serif" w:hAnsi="Times New Roman;serif"/>
          <w:b w:val="false"/>
          <w:color w:val="000000"/>
          <w:sz w:val="22"/>
        </w:rPr>
        <w:t xml:space="preserve">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the force behind the next generation of technology enhancing how we live, work, and play. Follow Synaptics on </w:t>
      </w:r>
      <w:r>
        <w:rPr>
          <w:rFonts w:ascii="Times New Roman;serif" w:hAnsi="Times New Roman;serif"/>
          <w:b w:val="false"/>
          <w:color w:val="000000"/>
          <w:sz w:val="22"/>
          <w:u w:val="single"/>
        </w:rPr>
        <w:t>LinkedIn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Facebook</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Instagram</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YouTube</w:t>
      </w:r>
      <w:r>
        <w:rPr>
          <w:rFonts w:ascii="Times New Roman;serif" w:hAnsi="Times New Roman;serif"/>
          <w:b w:val="false"/>
          <w:color w:val="000000"/>
          <w:sz w:val="22"/>
        </w:rPr>
        <w:t xml:space="preserve">, or visit </w:t>
      </w:r>
      <w:r>
        <w:rPr>
          <w:rFonts w:ascii="Times New Roman;serif" w:hAnsi="Times New Roman;serif"/>
          <w:b w:val="false"/>
          <w:color w:val="000000"/>
          <w:sz w:val="22"/>
          <w:u w:val="single"/>
        </w:rPr>
        <w:t>www.synaptics.com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w:t>
      </w:r>
    </w:p>
    <w:p>
      <w:pPr>
        <w:pStyle w:val="TextBody"/>
        <w:bidi w:val="0"/>
        <w:spacing w:before="0" w:after="0"/>
        <w:jc w:val="left"/>
        <w:rPr/>
      </w:pPr>
      <w:r>
        <w:rPr/>
        <w:drawing>
          <wp:inline distT="0" distB="0" distL="0" distR="0">
            <wp:extent cx="110490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 Offer or Solicitation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Important Additional Information about the Transaction and Where To Find It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w:t>
      </w:r>
    </w:p>
    <w:p>
      <w:pPr>
        <w:pStyle w:val="TextBody"/>
        <w:bidi w:val="0"/>
        <w:spacing w:before="0" w:after="0"/>
        <w:jc w:val="left"/>
        <w:rPr/>
      </w:pPr>
      <w:r>
        <w:rPr/>
        <w:drawing>
          <wp:inline distT="0" distB="0" distL="0" distR="0">
            <wp:extent cx="1104900" cy="285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Participants in the Solicitation</w:t>
      </w:r>
    </w:p>
    <w:p>
      <w:pPr>
        <w:pStyle w:val="TextBody"/>
        <w:bidi w:val="0"/>
        <w:spacing w:lineRule="auto" w:line="288" w:before="0" w:after="0"/>
        <w:jc w:val="both"/>
        <w:rPr/>
      </w:pPr>
      <w:r>
        <w:rPr>
          <w:rFonts w:ascii="Times New Roman;serif" w:hAnsi="Times New Roman;serif"/>
          <w:b w:val="false"/>
          <w:color w:val="000000"/>
          <w:sz w:val="22"/>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7">
        <w:r>
          <w:rPr>
            <w:rStyle w:val="InternetLink"/>
            <w:rFonts w:ascii="Times New Roman;serif" w:hAnsi="Times New Roman;serif"/>
            <w:b w:val="false"/>
            <w:color w:val="000000"/>
            <w:sz w:val="22"/>
            <w:u w:val="single"/>
          </w:rPr>
          <w:t>September 16, 2025</w:t>
        </w:r>
      </w:hyperlink>
      <w:r>
        <w:rPr>
          <w:rFonts w:ascii="Times New Roman;serif" w:hAnsi="Times New Roman;serif"/>
          <w:b w:val="false"/>
          <w:color w:val="000000"/>
          <w:sz w:val="22"/>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8">
        <w:r>
          <w:rPr>
            <w:rStyle w:val="InternetLink"/>
            <w:rFonts w:ascii="Times New Roman;serif" w:hAnsi="Times New Roman;serif"/>
            <w:b w:val="false"/>
            <w:color w:val="000000"/>
            <w:sz w:val="22"/>
            <w:u w:val="single"/>
          </w:rPr>
          <w:t>April 2, 2026</w:t>
        </w:r>
      </w:hyperlink>
      <w:r>
        <w:rPr>
          <w:rFonts w:ascii="Times New Roman;serif" w:hAnsi="Times New Roman;serif"/>
          <w:b w:val="false"/>
          <w:color w:val="000000"/>
          <w:sz w:val="22"/>
        </w:rPr>
        <w:t>.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22"/>
        </w:rPr>
      </w:pPr>
      <w:r>
        <w:rPr>
          <w:rFonts w:ascii="Times New Roman;serif" w:hAnsi="Times New Roman;serif"/>
          <w:b/>
          <w:color w:val="000000"/>
          <w:sz w:val="22"/>
        </w:rPr>
        <w:t>Investor Relations  </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Munjal Shah</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Synaptics</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+1-408-518-7639</w:t>
      </w:r>
    </w:p>
    <w:p>
      <w:pPr>
        <w:pStyle w:val="TextBody"/>
        <w:bidi w:val="0"/>
        <w:spacing w:lineRule="auto" w:line="300" w:before="0" w:after="0"/>
        <w:jc w:val="left"/>
        <w:rPr/>
      </w:pPr>
      <w:r>
        <w:rPr>
          <w:rFonts w:ascii="Times New Roman;serif" w:hAnsi="Times New Roman;serif"/>
          <w:b w:val="false"/>
          <w:color w:val="467886"/>
          <w:sz w:val="22"/>
          <w:u w:val="single"/>
        </w:rPr>
        <w:t>munjal.shah@synaptics.com</w:t>
      </w:r>
      <w:r>
        <w:rPr>
          <w:rFonts w:ascii="Times New Roman;serif" w:hAnsi="Times New Roman;serif"/>
          <w:b w:val="false"/>
          <w:color w:val="000000"/>
          <w:sz w:val="22"/>
        </w:rPr>
        <w:br/>
        <w:t> </w:t>
      </w:r>
    </w:p>
    <w:p>
      <w:pPr>
        <w:pStyle w:val="TextBody"/>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Neeta Shenoy</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Synaptics</w:t>
      </w:r>
    </w:p>
    <w:p>
      <w:pPr>
        <w:pStyle w:val="TextBody"/>
        <w:bidi w:val="0"/>
        <w:spacing w:lineRule="auto" w:line="300"/>
        <w:jc w:val="left"/>
        <w:rPr/>
      </w:pPr>
      <w:r>
        <w:rPr>
          <w:rFonts w:ascii="Times New Roman;serif" w:hAnsi="Times New Roman;serif"/>
          <w:b w:val="false"/>
          <w:color w:val="000000"/>
          <w:sz w:val="22"/>
        </w:rPr>
        <w:t>+1-408-425-2654</w:t>
        <w:br/>
      </w:r>
      <w:r>
        <w:rPr>
          <w:rFonts w:ascii="Times New Roman;serif" w:hAnsi="Times New Roman;serif"/>
          <w:b w:val="false"/>
          <w:color w:val="467886"/>
          <w:sz w:val="22"/>
          <w:u w:val="single"/>
        </w:rPr>
        <w:t>neeta.shenoy@synaptics.com</w:t>
      </w:r>
    </w:p>
    <w:p>
      <w:pPr>
        <w:pStyle w:val="TextBody"/>
        <w:bidi w:val="0"/>
        <w:spacing w:before="0" w:after="0"/>
        <w:jc w:val="left"/>
        <w:rPr/>
      </w:pPr>
      <w:r>
        <w:rPr/>
        <w:drawing>
          <wp:inline distT="0" distB="0" distL="0" distR="0">
            <wp:extent cx="1104900" cy="2857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Synaptics and the Synaptics logo are trademarks of Synaptics in the United States and/or other countries. All other marks are the property of their respective owners.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7720/000081772025000083/syna-20250916.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hyperlink" Target="https://www.sec.gov/ix?doc=/Archives/edgar/data/817720/000081772025000083/syna-20250916.htm" TargetMode="External"/><Relationship Id="rId8" Type="http://schemas.openxmlformats.org/officeDocument/2006/relationships/hyperlink" Target="https://www.sec.gov/ix?doc=/Archives/edgar/data/1097864/000109786426000010/on-20260401.htm" TargetMode="Externa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3790</Words>
  <Characters>22144</Characters>
  <CharactersWithSpaces>25840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