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hyperlink w:anchor="TOC">
        <w:bookmarkStart w:id="0" w:name="ny20081083x2_defm14a_100-regcov_pg1"/>
        <w:bookmarkStart w:id="1" w:name="ny20081083x2_defm14a.htm"/>
        <w:bookmarkStart w:id="2" w:name="ksny20081083x2_defm14a"/>
        <w:bookmarkEnd w:id="0"/>
        <w:bookmarkEnd w:id="1"/>
        <w:bookmarkEnd w:id="2"/>
        <w:r>
          <w:rPr>
            <w:rStyle w:val="InternetLink"/>
            <w:rFonts w:ascii="Times New Roman;Times;Serif" w:hAnsi="Times New Roman;Times;Serif"/>
            <w:b/>
            <w:caps w:val="false"/>
            <w:smallCaps w:val="false"/>
            <w:color w:val="000000"/>
            <w:sz w:val="16"/>
          </w:rPr>
          <w:t>TABLE OF CONTENTS</w:t>
        </w:r>
      </w:hyperlink>
    </w:p>
    <w:p>
      <w:pPr>
        <w:pStyle w:val="TextBody"/>
        <w:bidi w:val="0"/>
        <w:spacing w:before="190" w:after="283"/>
        <w:ind w:left="0" w:right="0" w:hanging="0"/>
        <w:jc w:val="center"/>
        <w:rPr>
          <w:rFonts w:ascii="Times New Roman;Times;serif" w:hAnsi="Times New Roman;Times;serif"/>
          <w:b/>
          <w:color w:val="000000"/>
          <w:sz w:val="28"/>
        </w:rPr>
      </w:pPr>
      <w:r>
        <w:rPr>
          <w:rFonts w:ascii="Times New Roman;Times;serif" w:hAnsi="Times New Roman;Times;serif"/>
          <w:b/>
          <w:color w:val="000000"/>
          <w:sz w:val="28"/>
        </w:rPr>
        <w:t xml:space="preserve">UNITED STATES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SECURITIES AND EXCHANGE COMMISSION </w:t>
      </w:r>
    </w:p>
    <w:p>
      <w:pPr>
        <w:pStyle w:val="TextBody"/>
        <w:bidi w:val="0"/>
        <w:spacing w:before="0" w:after="283"/>
        <w:jc w:val="center"/>
        <w:rPr>
          <w:rFonts w:ascii="Times New Roman;Times;serif" w:hAnsi="Times New Roman;Times;serif"/>
          <w:b/>
          <w:color w:val="000000"/>
          <w:sz w:val="28"/>
        </w:rPr>
      </w:pPr>
      <w:r>
        <w:rPr>
          <w:rFonts w:ascii="Times New Roman;Times;serif" w:hAnsi="Times New Roman;Times;serif"/>
          <w:b/>
          <w:color w:val="000000"/>
          <w:sz w:val="28"/>
        </w:rPr>
        <w:t xml:space="preserve">Washington, D.C. 20549 </w:t>
      </w:r>
    </w:p>
    <w:p>
      <w:pPr>
        <w:pStyle w:val="TextBody"/>
        <w:bidi w:val="0"/>
        <w:spacing w:before="410" w:after="283"/>
        <w:jc w:val="center"/>
        <w:rPr>
          <w:rFonts w:ascii="Times New Roman;Times;serif" w:hAnsi="Times New Roman;Times;serif"/>
          <w:b/>
          <w:color w:val="000000"/>
          <w:sz w:val="32"/>
        </w:rPr>
      </w:pPr>
      <w:r>
        <w:rPr>
          <w:rFonts w:ascii="Times New Roman;Times;serif" w:hAnsi="Times New Roman;Times;serif"/>
          <w:b/>
          <w:color w:val="000000"/>
          <w:sz w:val="32"/>
        </w:rPr>
        <w:t xml:space="preserve">SCHEDULE 14A </w:t>
      </w:r>
    </w:p>
    <w:p>
      <w:pPr>
        <w:pStyle w:val="TextBody"/>
        <w:bidi w:val="0"/>
        <w:spacing w:before="13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Proxy Statement Pursuant to Section 14(a)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of the Securities Exchange Act of 1934 (Amendment No. )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Filed by a Party other than the Registrant  ☐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Check the appropriate box: </w:t>
      </w:r>
    </w:p>
    <w:tbl>
      <w:tblPr>
        <w:tblW w:w="2665" w:type="dxa"/>
        <w:jc w:val="left"/>
        <w:tblInd w:w="0" w:type="dxa"/>
        <w:tblLayout w:type="fixed"/>
        <w:tblCellMar>
          <w:top w:w="0" w:type="dxa"/>
          <w:left w:w="0" w:type="dxa"/>
          <w:bottom w:w="0" w:type="dxa"/>
          <w:right w:w="0" w:type="dxa"/>
        </w:tblCellMar>
      </w:tblPr>
      <w:tblGrid>
        <w:gridCol w:w="275"/>
        <w:gridCol w:w="2390"/>
      </w:tblGrid>
      <w:tr>
        <w:trPr/>
        <w:tc>
          <w:tcPr>
            <w:tcW w:w="275" w:type="dxa"/>
            <w:tcBorders/>
            <w:vAlign w:val="center"/>
          </w:tcPr>
          <w:p>
            <w:pPr>
              <w:pStyle w:val="TableContents"/>
              <w:bidi w:val="0"/>
              <w:spacing w:before="0" w:after="0"/>
              <w:jc w:val="left"/>
              <w:rPr>
                <w:color w:val="000000"/>
              </w:rPr>
            </w:pPr>
            <w:r>
              <w:rPr>
                <w:color w:val="000000"/>
              </w:rPr>
              <w:t> ☐</w:t>
            </w:r>
          </w:p>
        </w:tc>
        <w:tc>
          <w:tcPr>
            <w:tcW w:w="23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Preliminary Proxy Statement </w:t>
            </w:r>
          </w:p>
        </w:tc>
      </w:tr>
    </w:tbl>
    <w:tbl>
      <w:tblPr>
        <w:tblW w:w="7015" w:type="dxa"/>
        <w:jc w:val="left"/>
        <w:tblInd w:w="0" w:type="dxa"/>
        <w:tblLayout w:type="fixed"/>
        <w:tblCellMar>
          <w:top w:w="0" w:type="dxa"/>
          <w:left w:w="0" w:type="dxa"/>
          <w:bottom w:w="0" w:type="dxa"/>
          <w:right w:w="0" w:type="dxa"/>
        </w:tblCellMar>
      </w:tblPr>
      <w:tblGrid>
        <w:gridCol w:w="275"/>
        <w:gridCol w:w="6740"/>
      </w:tblGrid>
      <w:tr>
        <w:trPr/>
        <w:tc>
          <w:tcPr>
            <w:tcW w:w="275" w:type="dxa"/>
            <w:tcBorders/>
            <w:vAlign w:val="center"/>
          </w:tcPr>
          <w:p>
            <w:pPr>
              <w:pStyle w:val="TableContents"/>
              <w:bidi w:val="0"/>
              <w:spacing w:before="0" w:after="0"/>
              <w:jc w:val="left"/>
              <w:rPr>
                <w:color w:val="000000"/>
              </w:rPr>
            </w:pPr>
            <w:r>
              <w:rPr>
                <w:color w:val="000000"/>
              </w:rPr>
              <w:t> ☐</w:t>
            </w:r>
          </w:p>
        </w:tc>
        <w:tc>
          <w:tcPr>
            <w:tcW w:w="67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color w:val="000000"/>
                <w:sz w:val="20"/>
              </w:rPr>
              <w:t>Confidential, for Use of the Commission Only (as permitted by Rule 14a-6(e)(2))</w:t>
            </w:r>
            <w:r>
              <w:rPr>
                <w:rFonts w:ascii="Times New Roman;Times;serif" w:hAnsi="Times New Roman;Times;serif"/>
                <w:color w:val="000000"/>
                <w:sz w:val="20"/>
              </w:rPr>
              <w:t xml:space="preserve"> </w:t>
            </w:r>
          </w:p>
        </w:tc>
      </w:tr>
    </w:tbl>
    <w:tbl>
      <w:tblPr>
        <w:tblW w:w="2500" w:type="dxa"/>
        <w:jc w:val="left"/>
        <w:tblInd w:w="0" w:type="dxa"/>
        <w:tblLayout w:type="fixed"/>
        <w:tblCellMar>
          <w:top w:w="0" w:type="dxa"/>
          <w:left w:w="0" w:type="dxa"/>
          <w:bottom w:w="0" w:type="dxa"/>
          <w:right w:w="0" w:type="dxa"/>
        </w:tblCellMar>
      </w:tblPr>
      <w:tblGrid>
        <w:gridCol w:w="230"/>
        <w:gridCol w:w="2270"/>
      </w:tblGrid>
      <w:tr>
        <w:trPr/>
        <w:tc>
          <w:tcPr>
            <w:tcW w:w="230" w:type="dxa"/>
            <w:tcBorders/>
            <w:vAlign w:val="center"/>
          </w:tcPr>
          <w:p>
            <w:pPr>
              <w:pStyle w:val="TableContents"/>
              <w:bidi w:val="0"/>
              <w:spacing w:before="0" w:after="0"/>
              <w:jc w:val="left"/>
              <w:rPr>
                <w:color w:val="000000"/>
              </w:rPr>
            </w:pPr>
            <w:r>
              <w:rPr>
                <w:color w:val="000000"/>
              </w:rPr>
              <w:t>☒</w:t>
            </w:r>
          </w:p>
        </w:tc>
        <w:tc>
          <w:tcPr>
            <w:tcW w:w="22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Proxy Statement </w:t>
            </w:r>
          </w:p>
        </w:tc>
      </w:tr>
    </w:tbl>
    <w:tbl>
      <w:tblPr>
        <w:tblW w:w="2905" w:type="dxa"/>
        <w:jc w:val="left"/>
        <w:tblInd w:w="0" w:type="dxa"/>
        <w:tblLayout w:type="fixed"/>
        <w:tblCellMar>
          <w:top w:w="0" w:type="dxa"/>
          <w:left w:w="0" w:type="dxa"/>
          <w:bottom w:w="0" w:type="dxa"/>
          <w:right w:w="0" w:type="dxa"/>
        </w:tblCellMar>
      </w:tblPr>
      <w:tblGrid>
        <w:gridCol w:w="275"/>
        <w:gridCol w:w="2630"/>
      </w:tblGrid>
      <w:tr>
        <w:trPr/>
        <w:tc>
          <w:tcPr>
            <w:tcW w:w="275" w:type="dxa"/>
            <w:tcBorders/>
            <w:vAlign w:val="center"/>
          </w:tcPr>
          <w:p>
            <w:pPr>
              <w:pStyle w:val="TableContents"/>
              <w:bidi w:val="0"/>
              <w:spacing w:before="0" w:after="0"/>
              <w:jc w:val="left"/>
              <w:rPr>
                <w:color w:val="000000"/>
              </w:rPr>
            </w:pPr>
            <w:r>
              <w:rPr>
                <w:color w:val="000000"/>
              </w:rPr>
              <w:t> ☐</w:t>
            </w:r>
          </w:p>
        </w:tc>
        <w:tc>
          <w:tcPr>
            <w:tcW w:w="26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Definitive Additional Materials </w:t>
            </w:r>
          </w:p>
        </w:tc>
      </w:tr>
    </w:tbl>
    <w:tbl>
      <w:tblPr>
        <w:tblW w:w="3475" w:type="dxa"/>
        <w:jc w:val="left"/>
        <w:tblInd w:w="0" w:type="dxa"/>
        <w:tblLayout w:type="fixed"/>
        <w:tblCellMar>
          <w:top w:w="0" w:type="dxa"/>
          <w:left w:w="0" w:type="dxa"/>
          <w:bottom w:w="0" w:type="dxa"/>
          <w:right w:w="0" w:type="dxa"/>
        </w:tblCellMar>
      </w:tblPr>
      <w:tblGrid>
        <w:gridCol w:w="275"/>
        <w:gridCol w:w="3200"/>
      </w:tblGrid>
      <w:tr>
        <w:trPr/>
        <w:tc>
          <w:tcPr>
            <w:tcW w:w="275" w:type="dxa"/>
            <w:tcBorders/>
            <w:vAlign w:val="center"/>
          </w:tcPr>
          <w:p>
            <w:pPr>
              <w:pStyle w:val="TableContents"/>
              <w:bidi w:val="0"/>
              <w:spacing w:before="0" w:after="0"/>
              <w:jc w:val="left"/>
              <w:rPr>
                <w:color w:val="000000"/>
              </w:rPr>
            </w:pPr>
            <w:r>
              <w:rPr>
                <w:color w:val="000000"/>
              </w:rPr>
              <w:t> ☐</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Soliciting Material under §240.14a-12 </w:t>
            </w:r>
          </w:p>
        </w:tc>
      </w:tr>
    </w:tbl>
    <w:p>
      <w:pPr>
        <w:pStyle w:val="TextBody"/>
        <w:bidi w:val="0"/>
        <w:spacing w:before="305" w:after="283"/>
        <w:jc w:val="center"/>
        <w:rPr>
          <w:color w:val="000000"/>
        </w:rPr>
      </w:pPr>
      <w:r>
        <w:rPr>
          <w:color w:val="000000"/>
        </w:rPr>
        <w:drawing>
          <wp:inline distT="0" distB="0" distL="0" distR="0">
            <wp:extent cx="2476500" cy="5143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476500" cy="5143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tbl>
      <w:tblPr>
        <w:tblW w:w="6200" w:type="dxa"/>
        <w:jc w:val="left"/>
        <w:tblInd w:w="0" w:type="dxa"/>
        <w:tblLayout w:type="fixed"/>
        <w:tblCellMar>
          <w:top w:w="0" w:type="dxa"/>
          <w:left w:w="0" w:type="dxa"/>
          <w:bottom w:w="0" w:type="dxa"/>
          <w:right w:w="0" w:type="dxa"/>
        </w:tblCellMar>
      </w:tblPr>
      <w:tblGrid>
        <w:gridCol w:w="6200"/>
      </w:tblGrid>
      <w:tr>
        <w:trPr/>
        <w:tc>
          <w:tcPr>
            <w:tcW w:w="6200" w:type="dxa"/>
            <w:tcBorders/>
            <w:vAlign w:val="center"/>
          </w:tcPr>
          <w:p>
            <w:pPr>
              <w:pStyle w:val="TableContents"/>
              <w:bidi w:val="0"/>
              <w:spacing w:before="0" w:after="0"/>
              <w:jc w:val="left"/>
              <w:rPr/>
            </w:pPr>
            <w:r>
              <w:rPr/>
              <w:t>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36"/>
              </w:rPr>
            </w:pPr>
            <w:r>
              <w:rPr>
                <w:rFonts w:ascii="Times New Roman;Times;serif" w:hAnsi="Times New Roman;Times;serif"/>
                <w:b/>
                <w:color w:val="000000"/>
                <w:sz w:val="36"/>
              </w:rPr>
              <w:t>SYNAPTICS INCORPORATED</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(Name of Registrant as Specified in Its Charter) </w:t>
            </w:r>
          </w:p>
        </w:tc>
      </w:tr>
      <w:tr>
        <w:trPr/>
        <w:tc>
          <w:tcPr>
            <w:tcW w:w="6200" w:type="dxa"/>
            <w:tcBorders/>
            <w:vAlign w:val="center"/>
          </w:tcPr>
          <w:p>
            <w:pPr>
              <w:pStyle w:val="TableContents"/>
              <w:bidi w:val="0"/>
              <w:spacing w:before="0" w:after="0"/>
              <w:jc w:val="left"/>
              <w:rPr>
                <w:color w:val="000000"/>
              </w:rPr>
            </w:pPr>
            <w:r>
              <w:rPr>
                <w:color w:val="000000"/>
              </w:rPr>
              <w:t>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N/A </w:t>
            </w:r>
          </w:p>
        </w:tc>
      </w:tr>
      <w:tr>
        <w:trPr/>
        <w:tc>
          <w:tcPr>
            <w:tcW w:w="6200" w:type="dxa"/>
            <w:tcBorders/>
            <w:vAlign w:val="center"/>
          </w:tcPr>
          <w:p>
            <w:pPr>
              <w:pStyle w:val="TableContents"/>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(Name of Person(s) Filing Proxy Statement, If Other Than the Registrant)</w:t>
            </w:r>
          </w:p>
        </w:tc>
      </w:tr>
      <w:tr>
        <w:trPr/>
        <w:tc>
          <w:tcPr>
            <w:tcW w:w="6200" w:type="dxa"/>
            <w:tcBorders/>
            <w:vAlign w:val="center"/>
          </w:tcPr>
          <w:p>
            <w:pPr>
              <w:pStyle w:val="TableContents"/>
              <w:bidi w:val="0"/>
              <w:spacing w:before="0" w:after="0"/>
              <w:jc w:val="left"/>
              <w:rPr/>
            </w:pPr>
            <w:r>
              <w:rPr/>
              <w:t> </w:t>
            </w:r>
          </w:p>
        </w:tc>
      </w:tr>
    </w:tbl>
    <w:p>
      <w:pPr>
        <w:pStyle w:val="TextBody"/>
        <w:bidi w:val="0"/>
        <w:spacing w:before="13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Payment of Filing Fee (Check all boxes that apply): </w:t>
      </w:r>
    </w:p>
    <w:tbl>
      <w:tblPr>
        <w:tblW w:w="1585" w:type="dxa"/>
        <w:jc w:val="left"/>
        <w:tblInd w:w="0" w:type="dxa"/>
        <w:tblLayout w:type="fixed"/>
        <w:tblCellMar>
          <w:top w:w="0" w:type="dxa"/>
          <w:left w:w="0" w:type="dxa"/>
          <w:bottom w:w="0" w:type="dxa"/>
          <w:right w:w="0" w:type="dxa"/>
        </w:tblCellMar>
      </w:tblPr>
      <w:tblGrid>
        <w:gridCol w:w="275"/>
        <w:gridCol w:w="1310"/>
      </w:tblGrid>
      <w:tr>
        <w:trPr/>
        <w:tc>
          <w:tcPr>
            <w:tcW w:w="275" w:type="dxa"/>
            <w:tcBorders/>
            <w:vAlign w:val="center"/>
          </w:tcPr>
          <w:p>
            <w:pPr>
              <w:pStyle w:val="TableContents"/>
              <w:bidi w:val="0"/>
              <w:spacing w:before="0" w:after="0"/>
              <w:jc w:val="left"/>
              <w:rPr>
                <w:color w:val="000000"/>
              </w:rPr>
            </w:pPr>
            <w:r>
              <w:rPr>
                <w:color w:val="000000"/>
              </w:rPr>
              <w:t> ☐</w:t>
            </w:r>
          </w:p>
        </w:tc>
        <w:tc>
          <w:tcPr>
            <w:tcW w:w="13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No fee required </w:t>
            </w:r>
          </w:p>
        </w:tc>
      </w:tr>
    </w:tbl>
    <w:tbl>
      <w:tblPr>
        <w:tblW w:w="4075" w:type="dxa"/>
        <w:jc w:val="left"/>
        <w:tblInd w:w="0" w:type="dxa"/>
        <w:tblLayout w:type="fixed"/>
        <w:tblCellMar>
          <w:top w:w="0" w:type="dxa"/>
          <w:left w:w="0" w:type="dxa"/>
          <w:bottom w:w="0" w:type="dxa"/>
          <w:right w:w="0" w:type="dxa"/>
        </w:tblCellMar>
      </w:tblPr>
      <w:tblGrid>
        <w:gridCol w:w="230"/>
        <w:gridCol w:w="3845"/>
      </w:tblGrid>
      <w:tr>
        <w:trPr/>
        <w:tc>
          <w:tcPr>
            <w:tcW w:w="230" w:type="dxa"/>
            <w:tcBorders/>
            <w:vAlign w:val="center"/>
          </w:tcPr>
          <w:p>
            <w:pPr>
              <w:pStyle w:val="TableContents"/>
              <w:bidi w:val="0"/>
              <w:spacing w:before="0" w:after="0"/>
              <w:jc w:val="left"/>
              <w:rPr>
                <w:color w:val="000000"/>
              </w:rPr>
            </w:pPr>
            <w:r>
              <w:rPr>
                <w:color w:val="000000"/>
              </w:rPr>
              <w:t>☒</w:t>
            </w:r>
          </w:p>
        </w:tc>
        <w:tc>
          <w:tcPr>
            <w:tcW w:w="38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paid previously with preliminary materials </w:t>
            </w:r>
          </w:p>
        </w:tc>
      </w:tr>
    </w:tbl>
    <w:tbl>
      <w:tblPr>
        <w:tblW w:w="8560" w:type="dxa"/>
        <w:jc w:val="left"/>
        <w:tblInd w:w="0" w:type="dxa"/>
        <w:tblLayout w:type="fixed"/>
        <w:tblCellMar>
          <w:top w:w="0" w:type="dxa"/>
          <w:left w:w="0" w:type="dxa"/>
          <w:bottom w:w="0" w:type="dxa"/>
          <w:right w:w="0" w:type="dxa"/>
        </w:tblCellMar>
      </w:tblPr>
      <w:tblGrid>
        <w:gridCol w:w="275"/>
        <w:gridCol w:w="8285"/>
      </w:tblGrid>
      <w:tr>
        <w:trPr/>
        <w:tc>
          <w:tcPr>
            <w:tcW w:w="275" w:type="dxa"/>
            <w:tcBorders/>
            <w:vAlign w:val="center"/>
          </w:tcPr>
          <w:p>
            <w:pPr>
              <w:pStyle w:val="TableContents"/>
              <w:bidi w:val="0"/>
              <w:spacing w:before="0" w:after="0"/>
              <w:jc w:val="left"/>
              <w:rPr>
                <w:color w:val="000000"/>
              </w:rPr>
            </w:pPr>
            <w:r>
              <w:rPr>
                <w:color w:val="000000"/>
              </w:rPr>
              <w:t> ☐</w:t>
            </w:r>
          </w:p>
        </w:tc>
        <w:tc>
          <w:tcPr>
            <w:tcW w:w="82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Fee computed on table in exhibit required by Item 25(b) per Exchange Act Rules 14a-6(i)(1) and 0-11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3" w:name="ny20081083x2_defm14a_101-cov_pg1"/>
        <w:bookmarkEnd w:id="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323975" cy="3429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323975" cy="3429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TRANSACTION PROPOSED – YOUR VOTE IS VERY IMPORTANT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Dear Stockholders of 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cordially invited to attend a special meeting (including any adjournments or postponements thereof, which we refer to as the “Special Meeting”) of stockholders of Synaptics Incorporated, a Delaware corporation (“Synaptics”), to be held virtually via live webcast on November 17, 2026 beginning at 9:00 a.m., Pacific Time (unless the Special Meeting is adjourned or postponed). Synaptics stockholders will be able to virtually attend and vote at the Special Meeting by visiting www.virtualshareholdermeeting.com/SYNA2026SM, which we refer to as the “Special Meeting website.” For purposes of attendance at the Special Meeting, all references in the enclosed proxy statement to “present” or “presence” will mean virtually present at the Special Meeting, and to “attend” or “attendance” will mean to attend or be in attendance at the Special Meeting through virtual means.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you will be asked to consider and vote on (a) a proposal to adopt an Amended and Restated Agreement and Plan of Merger, dated as of October 1, 2026 (as it may be amended from time to time, the “Merger Agreement”), by and among Synaptics, ON Semiconductor Corporation, a Delaware corporation (“onsemi”) and Sonic Acquisition Corp., a Delaware corporation and a wholly-owned subsidiary of onsemi (“Merger Sub”), pursuant to which and subject to the terms and conditions set forth therein, Merger Sub will merge with and into Synaptics (the “Merger”), with Synaptics continuing as the surviving company in the Merger and as a wholly-owned subsidiary of onsemi, which we refer to as the “Merger Proposal”; (b) a proposal to approve, on a non-binding advisory basis, the compensation that may be paid or become payable to Synaptics’ named executive officers that is based on or otherwise related to the Merger Agreement and the transactions contemplated by the Merger Agreement, which we refer to as the “Advisory Compensation Proposal”; and (c)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which we refer to as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by virtue of the Merger, each share of Synaptics common stock, par value $0.001 per share (“Synaptics common stock”) (other than each share of Synaptics common stock held in Synaptics’ treasury or held or owned by onsemi, any subsidiary of onsemi, or Merger Sub immediately prior to the effective time, as well as dissenting shares (collectively, the “excluded shares”)), outstanding immediately prior to the effective time will be cancelled and converted into the right to receive $123.00 per share in cash, without interest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board of directors (the “Synaptics board”) has unanimously approved the Merger Agreement and recommends that Synaptics stockholders vote in favor of adopting the Merger Agreement.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Synaptics and onsemi cannot complete the Merger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Synaptics is holding the Special Meeting to vote on the Merger Proposal in order to complete the Merger. Information about the Special Meeting, the Merger, the Merger Agreement and the other business to be considered by stockholders at the Special Meeting is contained in this proxy statement. The Synaptics board has fixed the close of business on October 13, 2026 as the record date for the determination of Synaptics stockholders entitled to notice of, and to vote at, the Special Meeting. We urge you to read this proxy statement and the annexes and documents incorporated by reference carefully.</w:t>
      </w:r>
      <w:r>
        <w:rPr>
          <w:rFonts w:ascii="Times New Roman;Times;serif" w:hAnsi="Times New Roman;Times;serif"/>
          <w:b/>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 w:name="ny20081083x2_defm14a_101-cov_pg2"/>
        <w:bookmarkEnd w:id="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 </w:t>
      </w:r>
    </w:p>
    <w:p>
      <w:pPr>
        <w:pStyle w:val="TextBody"/>
        <w:bidi w:val="0"/>
        <w:spacing w:before="170" w:after="283"/>
        <w:ind w:left="0" w:right="0" w:firstLine="400"/>
        <w:jc w:val="left"/>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Whether or not you plan to attend the Special Meeting virtually, please submit your proxy as soon as possible by following the instructions on the accompanying proxy card to make sure that your shares are represented at the meeting. If your shares are held in the name of a broker, bank or other nominee, please follow the instructions on the voting instruction form furnished by the broker, bank or other nominee. You must provide voting instructions by filling out the voting instruction form in order for your shares to be voted.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held in a virtual meeting format only. You will not be able to attend the Special Meeting physically in person.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Very truly yours, </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Rahul Patel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President and Chief Executive Officer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Neither the U.S. Securities and Exchange Commission nor any state securities commission has approved or disapproved of the Merger or the other transactions described in this proxy statement or determined if this proxy statement is accurate or complete. Any representation to the contrary is a criminal offense</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October 19, 2026, and is first being mailed to Synaptics stockholders on or about October 19,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 w:name="ny20081083x2_defm14a_102-notice_pg1"/>
        <w:bookmarkEnd w:id="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1524000" cy="39052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524000" cy="39052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41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NOTICE OF SPECIAL MEETING OF STOCKHOLDERS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TO BE HELD NOVEMBER 17, 2026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To our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You are hereby notified that a Special Meeting of Stockholders of Synaptics Incorporated, a Delaware corporation (“Synaptics”), will be held virtually at www.virtualshareholdermeeting.com/SYNA2026SM at 9:00 a.m., Pacific Time on November 17, 2026 (unless the Special Meeting is adjourned or postponed) for the following purposes: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50" w:type="dxa"/>
            <w:tcBorders/>
            <w:vAlign w:val="center"/>
          </w:tcPr>
          <w:p>
            <w:pPr>
              <w:pStyle w:val="TableContents"/>
              <w:bidi w:val="0"/>
              <w:spacing w:before="0" w:after="0"/>
              <w:jc w:val="both"/>
              <w:rPr/>
            </w:pPr>
            <w:r>
              <w:rPr>
                <w:rFonts w:ascii="Times New Roman;Times;serif" w:hAnsi="Times New Roman;Times;serif"/>
                <w:color w:val="000000"/>
                <w:sz w:val="20"/>
              </w:rPr>
              <w:t xml:space="preserve">to vote on a proposal to adopt the Amended and Restated Agreement and Plan of Merger, dated October 1, 2026, as it may be amended from time to time, by and among ON Semiconductor Corporation, a Delaware corporation (“onsemi”), Sonic Acquisition Corp., a Delaware corporation and wholly-owned subsidiary of onsemi (“Merger Sub”), and Synaptics (as it may be amended from time to time, the “Merger Agreement”), which provides, among other things, that subject to the satisfaction or waiver of the conditions set forth therein, at the effective time, Merger Sub will merge with and into Synaptics, with Synaptics surviving as a wholly-owned subsidiary of onsemi (the “Merger”), which is further described in the section titled “The Merger Agreement” beginning on page </w:t>
            </w:r>
            <w:hyperlink w:anchor="tTM">
              <w:r>
                <w:rPr>
                  <w:rStyle w:val="InternetLink"/>
                  <w:rFonts w:ascii="Times New Roman;Times;serif" w:hAnsi="Times New Roman;Times;serif"/>
                  <w:color w:val="000080"/>
                  <w:sz w:val="20"/>
                </w:rPr>
                <w:t>31</w:t>
              </w:r>
            </w:hyperlink>
            <w:r>
              <w:rPr>
                <w:rFonts w:ascii="Times New Roman;Times;serif" w:hAnsi="Times New Roman;Times;serif"/>
                <w:color w:val="000000"/>
                <w:sz w:val="20"/>
              </w:rPr>
              <w:t xml:space="preserve">, and a copy of which is attached as Annex A to the proxy statement of which this notice forms a part (the “Merger Proposal”);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3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hold a non-binding advisory vote to approve the compensation that may be paid or become payable to Synaptics’ named executive officers that is based on or otherwise related to the Merger (the “Advisory Compensation Proposal”); and </w:t>
            </w:r>
          </w:p>
        </w:tc>
      </w:tr>
    </w:tbl>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1005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to vote on a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(the “Adjournment Proposal”).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transact no other business at the Special Meeting except such business as may properly be brought before the Special Meeting or any adjournment or postponement thereof. Please refer to the proxy statement of which this notice forms a part for further information with respect to the business to be transacted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stockholders of record as of October 13, 2026 are entitled to notice of, and to vote at, the Special Meeting. The Special Meeting will be a virtual only meeting conducted exclusively via live webcast at www.virtualshareholdermeeting.com/SYNA2026SM starting at 9:00 a.m., Pacific Time (with log-in beginning at 8:45 a.m., Pacific Time) on November 17, 2026. You will be able to attend the Special Meeting and vote your shares electronically during the meeting by going to www.virtualshareholdermeeting.com/SYNA2026SM and entering the 16-digit control number included on the proxy card or voting instruction form that you received. Because the Special Meeting is completely virtual and being conducted via live webcast, stockholders will not be able to attend the meeting in person. Participating stockholders who log on to the meeting using his, her or its unique 16-digit control number will also be able to examine the stockholder list during the Special Meeting by following the instructions provided on the meeting website. A list of stockholders of record will be available for inspection at our corporate headquarters located at 1109 McKay Drive, San Jose, California 95131 during ordinary business hours during the 10-day period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Stockholders attending the Special Meeting will be in a listen-only mode and will not be able to speak during the webcast. If you encounter any difficulties while accessing the virtual meeting during the check-in or meeting time, a technical assistance phone number will be made available on the virtual meeting registration page 15 minutes prior to the start of the meeting. Please give yourself sufficient time to log in and ensure you can hear the streaming audio before the meeting starts.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on adoption of the Merger Agreement by the Synaptics stockholders, which requires the affirmative vote of holders of a majority of the issued and outstanding shares of Synaptics common stock entitled to vote thereon. Completion of the Merger is not conditioned on approval of the Advisory Compensation Proposal or the Adjournment Proposal.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 w:name="ny20081083x2_defm14a_102-notice_pg2"/>
        <w:bookmarkEnd w:id="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The Synaptics board has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Accordingly, the Synaptics board unanimously recommends that Synaptics stockholders vote “FOR” the Merger Proposal, “FOR” the Advisory Compensation Proposal and “FOR” the Adjournment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Your vote is very important regardless of the number of shares of Synaptics common stock that you own. The Merger cannot be completed without adoption of the Merger Agreement by the affirmative vote of holders of a majority of the issued and outstanding shares of Synaptics common stock as of the Synaptics record date and entitled to vote thereon. The failure by a Synaptics stockholder to submit a vote and any abstention by a Synaptics stockholder from voting will have the same effect as a vote “AGAINST” the Merger Proposal. If you hold your shares in “street name,” the failure to instruct your broker, bank or other nominee on how to vote your shares will have the same effect as a vote “AGAINST” the Merger Proposal</w:t>
      </w:r>
      <w:r>
        <w:rPr>
          <w:rFonts w:ascii="Times New Roman;Times;serif" w:hAnsi="Times New Roman;Times;serif"/>
          <w:b w:val="false"/>
          <w:color w:val="000000"/>
          <w:sz w:val="20"/>
        </w:rPr>
        <w:t xml:space="preserv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plan to attend the Special Meeting virtually, please follow the instructions as outlined in the proxy statement of which this notice forms a part. Whether or not you expect to attend the Special Meeting virtually, we urge you to submit your vote in advance of the meeting. If your shares are held in the name of a broker, bank or other nominee, please vote by following the instructions on the voting instruction form furnished by the broker, bank or other nominee. If you hold your shares in your own name, submit a proxy to vote your shares as promptly as possible by (i) visiting the internet site listed on the accompanying proxy card, (ii) calling the toll-free number listed on the proxy card or (iii) submitting your proxy card by mail by using the self-addressed, stamped envelope provided</w:t>
      </w:r>
      <w:r>
        <w:rPr>
          <w:rFonts w:ascii="Times New Roman;Times;serif" w:hAnsi="Times New Roman;Times;serif"/>
          <w:b w:val="false"/>
          <w:color w:val="000000"/>
          <w:sz w:val="20"/>
        </w:rPr>
        <w:t xml:space="preserve">. Submitting a proxy will not prevent you from voting virtually at the meeting, but it will help to secure a quorum and avoid added solicitation costs. Any eligible holder of Synaptics common stock may vote virtually at the Special Meeting, thereby revoking any previous proxy. In addition, a proxy may also be revoked in writing before the Special Meeting in the manner described in the proxy statement of which this notice forms a part.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proxy statement of which this notice forms a part provides a detailed description of the Merger and the Merger Agreement and the other matters to be considered at the Special Meeting. We urge you to carefully read the proxy statement, including any documents incorporated by reference therein, and the annexes in their entirety.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have any questions concerning the Merger or the proxy statement, would like additional copies or need help voting your shares of Synaptics common stock, please contact Synaptics’ proxy solicitor: </w:t>
      </w:r>
    </w:p>
    <w:p>
      <w:pPr>
        <w:pStyle w:val="TextBody"/>
        <w:bidi w:val="0"/>
        <w:spacing w:before="305" w:after="283"/>
        <w:jc w:val="center"/>
        <w:rPr>
          <w:color w:val="000000"/>
        </w:rPr>
      </w:pPr>
      <w:r>
        <w:rPr>
          <w:color w:val="000000"/>
        </w:rPr>
        <w:drawing>
          <wp:inline distT="0" distB="0" distL="0" distR="0">
            <wp:extent cx="1933575" cy="5715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By order of the Board of Directors of Synaptics, </w:t>
      </w:r>
    </w:p>
    <w:p>
      <w:pPr>
        <w:pStyle w:val="TextBody"/>
        <w:bidi w:val="0"/>
        <w:spacing w:before="17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Lisa Bodensteiner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Senior Vice President, Chief Legal Officer and Secretary </w:t>
      </w:r>
    </w:p>
    <w:p>
      <w:pPr>
        <w:pStyle w:val="TextBody"/>
        <w:bidi w:val="0"/>
        <w:spacing w:before="0" w:after="283"/>
        <w:ind w:left="0" w:right="0" w:hanging="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October 19,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 w:name="ny20081083x2_defm14a_104-about_pg1"/>
        <w:bookmarkEnd w:id="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CERTAIN DEFINED TERMS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All currency amounts referenced in this proxy statement are in U.S. dollars. In this proxy statement, except as otherwise indicated or the context otherwise requires, references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Adjournment Proposal” refers to the proposal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Advisory Compensation Proposal” refers to the non-binding advisory vote to approve the compensation that may be paid or become payable to Synaptics’ named executive officers that is based on or otherwise related to the Merger;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refers to the closing of the Merger; </w:t>
            </w:r>
          </w:p>
        </w:tc>
      </w:tr>
    </w:tbl>
    <w:tbl>
      <w:tblPr>
        <w:tblW w:w="5110" w:type="dxa"/>
        <w:jc w:val="left"/>
        <w:tblInd w:w="0" w:type="dxa"/>
        <w:tblLayout w:type="fixed"/>
        <w:tblCellMar>
          <w:top w:w="0" w:type="dxa"/>
          <w:left w:w="0" w:type="dxa"/>
          <w:bottom w:w="0" w:type="dxa"/>
          <w:right w:w="0" w:type="dxa"/>
        </w:tblCellMar>
      </w:tblPr>
      <w:tblGrid>
        <w:gridCol w:w="110"/>
        <w:gridCol w:w="5000"/>
      </w:tblGrid>
      <w:tr>
        <w:trPr/>
        <w:tc>
          <w:tcPr>
            <w:tcW w:w="110" w:type="dxa"/>
            <w:tcBorders/>
            <w:vAlign w:val="center"/>
          </w:tcPr>
          <w:p>
            <w:pPr>
              <w:pStyle w:val="TableContents"/>
              <w:bidi w:val="0"/>
              <w:spacing w:before="0" w:after="0"/>
              <w:jc w:val="left"/>
              <w:rPr>
                <w:color w:val="000000"/>
              </w:rPr>
            </w:pPr>
            <w:r>
              <w:rPr>
                <w:color w:val="000000"/>
              </w:rPr>
              <w:t>•</w:t>
            </w:r>
          </w:p>
        </w:tc>
        <w:tc>
          <w:tcPr>
            <w:tcW w:w="50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closing date” refers to the date on which the closing occurs; </w:t>
            </w:r>
          </w:p>
        </w:tc>
      </w:tr>
    </w:tbl>
    <w:tbl>
      <w:tblPr>
        <w:tblW w:w="5485" w:type="dxa"/>
        <w:jc w:val="left"/>
        <w:tblInd w:w="0" w:type="dxa"/>
        <w:tblLayout w:type="fixed"/>
        <w:tblCellMar>
          <w:top w:w="0" w:type="dxa"/>
          <w:left w:w="0" w:type="dxa"/>
          <w:bottom w:w="0" w:type="dxa"/>
          <w:right w:w="0" w:type="dxa"/>
        </w:tblCellMar>
      </w:tblPr>
      <w:tblGrid>
        <w:gridCol w:w="110"/>
        <w:gridCol w:w="5375"/>
      </w:tblGrid>
      <w:tr>
        <w:trPr/>
        <w:tc>
          <w:tcPr>
            <w:tcW w:w="110" w:type="dxa"/>
            <w:tcBorders/>
            <w:vAlign w:val="center"/>
          </w:tcPr>
          <w:p>
            <w:pPr>
              <w:pStyle w:val="TableContents"/>
              <w:bidi w:val="0"/>
              <w:spacing w:before="0" w:after="0"/>
              <w:jc w:val="left"/>
              <w:rPr>
                <w:color w:val="000000"/>
              </w:rPr>
            </w:pPr>
            <w:r>
              <w:rPr>
                <w:color w:val="000000"/>
              </w:rPr>
              <w:t>•</w:t>
            </w:r>
          </w:p>
        </w:tc>
        <w:tc>
          <w:tcPr>
            <w:tcW w:w="53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Code” refers to the Internal Revenue Code of 1986, as amended;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Conversion Ratio” refers to the quotient, rounded to the fourth decimal place, of the per share Merger Consideration divided by the average of the volume-weighted average trading prices per share of onsemi common stock on Nasdaq for each of the five consecutive trading days ending on and including the trading day that is three trading days prior to the date of the effective time;</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DGCL” refers to the Delaware General Corporation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dissenting shares” refers to shares of Synaptics common stock issued and outstanding immediately prior to the effective time and held by Synaptics stockholders who have properly exercised and perfected their demands for appraisal of such shares of Synaptics common stock in accordance with Section 262 of the DGCL;</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effective time” refers to the effective time of the Merger; </w:t>
            </w:r>
          </w:p>
        </w:tc>
      </w:tr>
    </w:tbl>
    <w:tbl>
      <w:tblPr>
        <w:tblW w:w="7285" w:type="dxa"/>
        <w:jc w:val="left"/>
        <w:tblInd w:w="0" w:type="dxa"/>
        <w:tblLayout w:type="fixed"/>
        <w:tblCellMar>
          <w:top w:w="0" w:type="dxa"/>
          <w:left w:w="0" w:type="dxa"/>
          <w:bottom w:w="0" w:type="dxa"/>
          <w:right w:w="0" w:type="dxa"/>
        </w:tblCellMar>
      </w:tblPr>
      <w:tblGrid>
        <w:gridCol w:w="110"/>
        <w:gridCol w:w="7175"/>
      </w:tblGrid>
      <w:tr>
        <w:trPr/>
        <w:tc>
          <w:tcPr>
            <w:tcW w:w="110" w:type="dxa"/>
            <w:tcBorders/>
            <w:vAlign w:val="center"/>
          </w:tcPr>
          <w:p>
            <w:pPr>
              <w:pStyle w:val="TableContents"/>
              <w:bidi w:val="0"/>
              <w:spacing w:before="0" w:after="0"/>
              <w:jc w:val="left"/>
              <w:rPr>
                <w:color w:val="000000"/>
              </w:rPr>
            </w:pPr>
            <w:r>
              <w:rPr>
                <w:color w:val="000000"/>
              </w:rPr>
              <w:t>•</w:t>
            </w:r>
          </w:p>
        </w:tc>
        <w:tc>
          <w:tcPr>
            <w:tcW w:w="71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ESPP” refers to Synaptics Amended and Restated 2019 Employee Stock Purchase Plan;</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Exchange Act” refers to the Securities Exchange Act of 1934, as amended;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GAAP” refers to United States Generally Accepted Accounting Principles; </w:t>
            </w:r>
          </w:p>
        </w:tc>
      </w:tr>
    </w:tbl>
    <w:tbl>
      <w:tblPr>
        <w:tblW w:w="7675" w:type="dxa"/>
        <w:jc w:val="left"/>
        <w:tblInd w:w="0" w:type="dxa"/>
        <w:tblLayout w:type="fixed"/>
        <w:tblCellMar>
          <w:top w:w="0" w:type="dxa"/>
          <w:left w:w="0" w:type="dxa"/>
          <w:bottom w:w="0" w:type="dxa"/>
          <w:right w:w="0" w:type="dxa"/>
        </w:tblCellMar>
      </w:tblPr>
      <w:tblGrid>
        <w:gridCol w:w="110"/>
        <w:gridCol w:w="7565"/>
      </w:tblGrid>
      <w:tr>
        <w:trPr/>
        <w:tc>
          <w:tcPr>
            <w:tcW w:w="110" w:type="dxa"/>
            <w:tcBorders/>
            <w:vAlign w:val="center"/>
          </w:tcPr>
          <w:p>
            <w:pPr>
              <w:pStyle w:val="TableContents"/>
              <w:bidi w:val="0"/>
              <w:spacing w:before="0" w:after="0"/>
              <w:jc w:val="left"/>
              <w:rPr>
                <w:color w:val="000000"/>
              </w:rPr>
            </w:pPr>
            <w:r>
              <w:rPr>
                <w:color w:val="000000"/>
              </w:rPr>
              <w:t>•</w:t>
            </w:r>
          </w:p>
        </w:tc>
        <w:tc>
          <w:tcPr>
            <w:tcW w:w="756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HSR Act” refers to the Hart-Scott-Rodino Antitrust Improvements Act of 1976, as amended; </w:t>
            </w:r>
          </w:p>
        </w:tc>
      </w:tr>
    </w:tbl>
    <w:tbl>
      <w:tblPr>
        <w:tblW w:w="3805" w:type="dxa"/>
        <w:jc w:val="left"/>
        <w:tblInd w:w="0" w:type="dxa"/>
        <w:tblLayout w:type="fixed"/>
        <w:tblCellMar>
          <w:top w:w="0" w:type="dxa"/>
          <w:left w:w="0" w:type="dxa"/>
          <w:bottom w:w="0" w:type="dxa"/>
          <w:right w:w="0" w:type="dxa"/>
        </w:tblCellMar>
      </w:tblPr>
      <w:tblGrid>
        <w:gridCol w:w="110"/>
        <w:gridCol w:w="3695"/>
      </w:tblGrid>
      <w:tr>
        <w:trPr/>
        <w:tc>
          <w:tcPr>
            <w:tcW w:w="110" w:type="dxa"/>
            <w:tcBorders/>
            <w:vAlign w:val="center"/>
          </w:tcPr>
          <w:p>
            <w:pPr>
              <w:pStyle w:val="TableContents"/>
              <w:bidi w:val="0"/>
              <w:spacing w:before="0" w:after="0"/>
              <w:jc w:val="left"/>
              <w:rPr>
                <w:color w:val="000000"/>
              </w:rPr>
            </w:pPr>
            <w:r>
              <w:rPr>
                <w:color w:val="000000"/>
              </w:rPr>
              <w:t>•</w:t>
            </w:r>
          </w:p>
        </w:tc>
        <w:tc>
          <w:tcPr>
            <w:tcW w:w="369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IRS” refers to the Internal Revenue Service;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refers to the merger of Merger Sub with and into Synaptics, with Synaptics surviving as a wholly-owned subsidiary of onsemi;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Agreement” refers to the Amended and Restated Agreement and Plan of Merger, dated as of October 1, 2026, by and among onsemi, Merger Sub and Synaptics (as it may be amended from time to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Merger Consideration” refers to $123.00 in cash, without interest, subject to any tax withholding in accordance with the terms of the Merger Agreement, per share of Synaptics common stock;</w:t>
            </w:r>
          </w:p>
        </w:tc>
      </w:tr>
    </w:tbl>
    <w:tbl>
      <w:tblPr>
        <w:tblW w:w="6085" w:type="dxa"/>
        <w:jc w:val="left"/>
        <w:tblInd w:w="0" w:type="dxa"/>
        <w:tblLayout w:type="fixed"/>
        <w:tblCellMar>
          <w:top w:w="0" w:type="dxa"/>
          <w:left w:w="0" w:type="dxa"/>
          <w:bottom w:w="0" w:type="dxa"/>
          <w:right w:w="0" w:type="dxa"/>
        </w:tblCellMar>
      </w:tblPr>
      <w:tblGrid>
        <w:gridCol w:w="110"/>
        <w:gridCol w:w="5975"/>
      </w:tblGrid>
      <w:tr>
        <w:trPr/>
        <w:tc>
          <w:tcPr>
            <w:tcW w:w="110" w:type="dxa"/>
            <w:tcBorders/>
            <w:vAlign w:val="center"/>
          </w:tcPr>
          <w:p>
            <w:pPr>
              <w:pStyle w:val="TableContents"/>
              <w:bidi w:val="0"/>
              <w:spacing w:before="0" w:after="0"/>
              <w:jc w:val="left"/>
              <w:rPr>
                <w:color w:val="000000"/>
              </w:rPr>
            </w:pPr>
            <w:r>
              <w:rPr>
                <w:color w:val="000000"/>
              </w:rPr>
              <w:t>•</w:t>
            </w:r>
          </w:p>
        </w:tc>
        <w:tc>
          <w:tcPr>
            <w:tcW w:w="597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Merger Proposal” refers to the proposal to adopt the Merger Agreement; </w:t>
            </w:r>
          </w:p>
        </w:tc>
      </w:tr>
    </w:tbl>
    <w:tbl>
      <w:tblPr>
        <w:tblW w:w="9460" w:type="dxa"/>
        <w:jc w:val="left"/>
        <w:tblInd w:w="0" w:type="dxa"/>
        <w:tblLayout w:type="fixed"/>
        <w:tblCellMar>
          <w:top w:w="0" w:type="dxa"/>
          <w:left w:w="0" w:type="dxa"/>
          <w:bottom w:w="0" w:type="dxa"/>
          <w:right w:w="0" w:type="dxa"/>
        </w:tblCellMar>
      </w:tblPr>
      <w:tblGrid>
        <w:gridCol w:w="110"/>
        <w:gridCol w:w="9350"/>
      </w:tblGrid>
      <w:tr>
        <w:trPr/>
        <w:tc>
          <w:tcPr>
            <w:tcW w:w="110" w:type="dxa"/>
            <w:tcBorders/>
            <w:vAlign w:val="center"/>
          </w:tcPr>
          <w:p>
            <w:pPr>
              <w:pStyle w:val="TableContents"/>
              <w:bidi w:val="0"/>
              <w:spacing w:before="0" w:after="0"/>
              <w:jc w:val="left"/>
              <w:rPr>
                <w:color w:val="000000"/>
              </w:rPr>
            </w:pPr>
            <w:r>
              <w:rPr>
                <w:color w:val="000000"/>
              </w:rPr>
              <w:t>•</w:t>
            </w:r>
          </w:p>
        </w:tc>
        <w:tc>
          <w:tcPr>
            <w:tcW w:w="935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Merger Sub” refers to Sonic Acquisition Corp., a Delaware corporation and a wholly-owned subsidiary of onsemi; </w:t>
            </w:r>
          </w:p>
        </w:tc>
      </w:tr>
    </w:tbl>
    <w:tbl>
      <w:tblPr>
        <w:tblW w:w="4435" w:type="dxa"/>
        <w:jc w:val="left"/>
        <w:tblInd w:w="0" w:type="dxa"/>
        <w:tblLayout w:type="fixed"/>
        <w:tblCellMar>
          <w:top w:w="0" w:type="dxa"/>
          <w:left w:w="0" w:type="dxa"/>
          <w:bottom w:w="0" w:type="dxa"/>
          <w:right w:w="0" w:type="dxa"/>
        </w:tblCellMar>
      </w:tblPr>
      <w:tblGrid>
        <w:gridCol w:w="110"/>
        <w:gridCol w:w="4325"/>
      </w:tblGrid>
      <w:tr>
        <w:trPr/>
        <w:tc>
          <w:tcPr>
            <w:tcW w:w="110" w:type="dxa"/>
            <w:tcBorders/>
            <w:vAlign w:val="center"/>
          </w:tcPr>
          <w:p>
            <w:pPr>
              <w:pStyle w:val="TableContents"/>
              <w:bidi w:val="0"/>
              <w:spacing w:before="0" w:after="0"/>
              <w:jc w:val="left"/>
              <w:rPr>
                <w:color w:val="000000"/>
              </w:rPr>
            </w:pPr>
            <w:r>
              <w:rPr>
                <w:color w:val="000000"/>
              </w:rPr>
              <w:t>•</w:t>
            </w:r>
          </w:p>
        </w:tc>
        <w:tc>
          <w:tcPr>
            <w:tcW w:w="43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Nasdaq” refers to the Nasdaq Global Select Market;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October 1 amendments” refers to the amendment and restatement of the Agreement and Plan of Reorganization, dated as of June 25, 2026, by and among the Company, Merger Sub and onsemi, as effected by the Merger Agreement; </w:t>
            </w:r>
          </w:p>
        </w:tc>
      </w:tr>
    </w:tbl>
    <w:tbl>
      <w:tblPr>
        <w:tblW w:w="6295" w:type="dxa"/>
        <w:jc w:val="left"/>
        <w:tblInd w:w="0" w:type="dxa"/>
        <w:tblLayout w:type="fixed"/>
        <w:tblCellMar>
          <w:top w:w="0" w:type="dxa"/>
          <w:left w:w="0" w:type="dxa"/>
          <w:bottom w:w="0" w:type="dxa"/>
          <w:right w:w="0" w:type="dxa"/>
        </w:tblCellMar>
      </w:tblPr>
      <w:tblGrid>
        <w:gridCol w:w="110"/>
        <w:gridCol w:w="6185"/>
      </w:tblGrid>
      <w:tr>
        <w:trPr/>
        <w:tc>
          <w:tcPr>
            <w:tcW w:w="110" w:type="dxa"/>
            <w:tcBorders/>
            <w:vAlign w:val="center"/>
          </w:tcPr>
          <w:p>
            <w:pPr>
              <w:pStyle w:val="TableContents"/>
              <w:bidi w:val="0"/>
              <w:spacing w:before="0" w:after="0"/>
              <w:jc w:val="left"/>
              <w:rPr>
                <w:color w:val="000000"/>
              </w:rPr>
            </w:pPr>
            <w:r>
              <w:rPr>
                <w:color w:val="000000"/>
              </w:rPr>
              <w:t>•</w:t>
            </w:r>
          </w:p>
        </w:tc>
        <w:tc>
          <w:tcPr>
            <w:tcW w:w="618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refers to ON Semiconductor Corporation, a Delaware corporation; </w:t>
            </w:r>
          </w:p>
        </w:tc>
      </w:tr>
    </w:tbl>
    <w:tbl>
      <w:tblPr>
        <w:tblW w:w="4825" w:type="dxa"/>
        <w:jc w:val="left"/>
        <w:tblInd w:w="0" w:type="dxa"/>
        <w:tblLayout w:type="fixed"/>
        <w:tblCellMar>
          <w:top w:w="0" w:type="dxa"/>
          <w:left w:w="0" w:type="dxa"/>
          <w:bottom w:w="0" w:type="dxa"/>
          <w:right w:w="0" w:type="dxa"/>
        </w:tblCellMar>
      </w:tblPr>
      <w:tblGrid>
        <w:gridCol w:w="110"/>
        <w:gridCol w:w="4715"/>
      </w:tblGrid>
      <w:tr>
        <w:trPr/>
        <w:tc>
          <w:tcPr>
            <w:tcW w:w="110" w:type="dxa"/>
            <w:tcBorders/>
            <w:vAlign w:val="center"/>
          </w:tcPr>
          <w:p>
            <w:pPr>
              <w:pStyle w:val="TableContents"/>
              <w:bidi w:val="0"/>
              <w:spacing w:before="0" w:after="0"/>
              <w:jc w:val="left"/>
              <w:rPr>
                <w:color w:val="000000"/>
              </w:rPr>
            </w:pPr>
            <w:r>
              <w:rPr>
                <w:color w:val="000000"/>
              </w:rPr>
              <w:t>•</w:t>
            </w:r>
          </w:p>
        </w:tc>
        <w:tc>
          <w:tcPr>
            <w:tcW w:w="47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board” refers to the board of directors of onsemi; </w:t>
            </w:r>
          </w:p>
        </w:tc>
      </w:tr>
    </w:tbl>
    <w:tbl>
      <w:tblPr>
        <w:tblW w:w="8260" w:type="dxa"/>
        <w:jc w:val="left"/>
        <w:tblInd w:w="0" w:type="dxa"/>
        <w:tblLayout w:type="fixed"/>
        <w:tblCellMar>
          <w:top w:w="0" w:type="dxa"/>
          <w:left w:w="0" w:type="dxa"/>
          <w:bottom w:w="0" w:type="dxa"/>
          <w:right w:w="0" w:type="dxa"/>
        </w:tblCellMar>
      </w:tblPr>
      <w:tblGrid>
        <w:gridCol w:w="110"/>
        <w:gridCol w:w="8150"/>
      </w:tblGrid>
      <w:tr>
        <w:trPr/>
        <w:tc>
          <w:tcPr>
            <w:tcW w:w="110" w:type="dxa"/>
            <w:tcBorders/>
            <w:vAlign w:val="center"/>
          </w:tcPr>
          <w:p>
            <w:pPr>
              <w:pStyle w:val="TableContents"/>
              <w:bidi w:val="0"/>
              <w:spacing w:before="0" w:after="0"/>
              <w:jc w:val="left"/>
              <w:rPr>
                <w:color w:val="000000"/>
              </w:rPr>
            </w:pPr>
            <w:r>
              <w:rPr>
                <w:color w:val="000000"/>
              </w:rPr>
              <w:t>•</w:t>
            </w:r>
          </w:p>
        </w:tc>
        <w:tc>
          <w:tcPr>
            <w:tcW w:w="8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onsemi common stock” refers to the common stock, par value $0.01 par value per share, of onsemi;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8" w:name="ny20081083x2_defm14a_104-about_pg2"/>
        <w:bookmarkEnd w:id="8"/>
        <w:r>
          <w:rPr>
            <w:rStyle w:val="InternetLink"/>
            <w:rFonts w:ascii="Times New Roman;Times;Serif" w:hAnsi="Times New Roman;Times;Serif"/>
            <w:b/>
            <w:caps w:val="false"/>
            <w:smallCaps w:val="false"/>
            <w:color w:val="000000"/>
            <w:sz w:val="16"/>
          </w:rPr>
          <w:t>TABLE OF CONTENTS</w:t>
        </w:r>
      </w:hyperlink>
    </w:p>
    <w:tbl>
      <w:tblPr>
        <w:tblW w:w="6400" w:type="dxa"/>
        <w:jc w:val="left"/>
        <w:tblInd w:w="0" w:type="dxa"/>
        <w:tblLayout w:type="fixed"/>
        <w:tblCellMar>
          <w:top w:w="0" w:type="dxa"/>
          <w:left w:w="0" w:type="dxa"/>
          <w:bottom w:w="0" w:type="dxa"/>
          <w:right w:w="0" w:type="dxa"/>
        </w:tblCellMar>
      </w:tblPr>
      <w:tblGrid>
        <w:gridCol w:w="110"/>
        <w:gridCol w:w="6290"/>
      </w:tblGrid>
      <w:tr>
        <w:trPr/>
        <w:tc>
          <w:tcPr>
            <w:tcW w:w="110" w:type="dxa"/>
            <w:tcBorders/>
            <w:vAlign w:val="center"/>
          </w:tcPr>
          <w:p>
            <w:pPr>
              <w:pStyle w:val="TableContents"/>
              <w:bidi w:val="0"/>
              <w:spacing w:before="0" w:after="0"/>
              <w:jc w:val="left"/>
              <w:rPr>
                <w:color w:val="000000"/>
              </w:rPr>
            </w:pPr>
            <w:r>
              <w:rPr>
                <w:color w:val="000000"/>
              </w:rPr>
              <w:t>•</w:t>
            </w:r>
          </w:p>
        </w:tc>
        <w:tc>
          <w:tcPr>
            <w:tcW w:w="62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Qatalyst Partners” refers to Qatalyst Partners, financial advisor to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Required Synaptics stockholder vote” refers to the adoption of the Merger Agreement and the transactions contemplated thereby, including the Merger, by the affirmative vote of the holders of a majority of the shares of Synaptics common stock issued and outstanding on the record date for the Special Meeting and entitled to vote on the proposal to adopt the Merger Agreement; </w:t>
            </w:r>
          </w:p>
        </w:tc>
      </w:tr>
    </w:tbl>
    <w:tbl>
      <w:tblPr>
        <w:tblW w:w="5260" w:type="dxa"/>
        <w:jc w:val="left"/>
        <w:tblInd w:w="0" w:type="dxa"/>
        <w:tblLayout w:type="fixed"/>
        <w:tblCellMar>
          <w:top w:w="0" w:type="dxa"/>
          <w:left w:w="0" w:type="dxa"/>
          <w:bottom w:w="0" w:type="dxa"/>
          <w:right w:w="0" w:type="dxa"/>
        </w:tblCellMar>
      </w:tblPr>
      <w:tblGrid>
        <w:gridCol w:w="110"/>
        <w:gridCol w:w="5150"/>
      </w:tblGrid>
      <w:tr>
        <w:trPr/>
        <w:tc>
          <w:tcPr>
            <w:tcW w:w="110" w:type="dxa"/>
            <w:tcBorders/>
            <w:vAlign w:val="center"/>
          </w:tcPr>
          <w:p>
            <w:pPr>
              <w:pStyle w:val="TableContents"/>
              <w:bidi w:val="0"/>
              <w:spacing w:before="0" w:after="0"/>
              <w:jc w:val="left"/>
              <w:rPr>
                <w:color w:val="000000"/>
              </w:rPr>
            </w:pPr>
            <w:r>
              <w:rPr>
                <w:color w:val="000000"/>
              </w:rPr>
              <w:t>•</w:t>
            </w:r>
          </w:p>
        </w:tc>
        <w:tc>
          <w:tcPr>
            <w:tcW w:w="515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 refers to the U.S. Securities and Exchange Commission; </w:t>
            </w:r>
          </w:p>
        </w:tc>
      </w:tr>
    </w:tbl>
    <w:tbl>
      <w:tblPr>
        <w:tblW w:w="5425" w:type="dxa"/>
        <w:jc w:val="left"/>
        <w:tblInd w:w="0" w:type="dxa"/>
        <w:tblLayout w:type="fixed"/>
        <w:tblCellMar>
          <w:top w:w="0" w:type="dxa"/>
          <w:left w:w="0" w:type="dxa"/>
          <w:bottom w:w="0" w:type="dxa"/>
          <w:right w:w="0" w:type="dxa"/>
        </w:tblCellMar>
      </w:tblPr>
      <w:tblGrid>
        <w:gridCol w:w="110"/>
        <w:gridCol w:w="5315"/>
      </w:tblGrid>
      <w:tr>
        <w:trPr/>
        <w:tc>
          <w:tcPr>
            <w:tcW w:w="110" w:type="dxa"/>
            <w:tcBorders/>
            <w:vAlign w:val="center"/>
          </w:tcPr>
          <w:p>
            <w:pPr>
              <w:pStyle w:val="TableContents"/>
              <w:bidi w:val="0"/>
              <w:spacing w:before="0" w:after="0"/>
              <w:jc w:val="left"/>
              <w:rPr>
                <w:color w:val="000000"/>
              </w:rPr>
            </w:pPr>
            <w:r>
              <w:rPr>
                <w:color w:val="000000"/>
              </w:rPr>
              <w:t>•</w:t>
            </w:r>
          </w:p>
        </w:tc>
        <w:tc>
          <w:tcPr>
            <w:tcW w:w="531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Securities Act” refers to the Securities Act of 1933, as amended; </w:t>
            </w:r>
          </w:p>
        </w:tc>
      </w:tr>
    </w:tbl>
    <w:tbl>
      <w:tblPr>
        <w:tblW w:w="6265" w:type="dxa"/>
        <w:jc w:val="left"/>
        <w:tblInd w:w="0" w:type="dxa"/>
        <w:tblLayout w:type="fixed"/>
        <w:tblCellMar>
          <w:top w:w="0" w:type="dxa"/>
          <w:left w:w="0" w:type="dxa"/>
          <w:bottom w:w="0" w:type="dxa"/>
          <w:right w:w="0" w:type="dxa"/>
        </w:tblCellMar>
      </w:tblPr>
      <w:tblGrid>
        <w:gridCol w:w="110"/>
        <w:gridCol w:w="6155"/>
      </w:tblGrid>
      <w:tr>
        <w:trPr/>
        <w:tc>
          <w:tcPr>
            <w:tcW w:w="110" w:type="dxa"/>
            <w:tcBorders/>
            <w:vAlign w:val="center"/>
          </w:tcPr>
          <w:p>
            <w:pPr>
              <w:pStyle w:val="TableContents"/>
              <w:bidi w:val="0"/>
              <w:spacing w:before="0" w:after="0"/>
              <w:jc w:val="left"/>
              <w:rPr>
                <w:color w:val="000000"/>
              </w:rPr>
            </w:pPr>
            <w:r>
              <w:rPr>
                <w:color w:val="000000"/>
              </w:rPr>
              <w:t>•</w:t>
            </w:r>
          </w:p>
        </w:tc>
        <w:tc>
          <w:tcPr>
            <w:tcW w:w="615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special committee” refers to the special committee of the Synaptics board;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Special Meeting” refers to the special meeting of Synaptics stockholders to consider and vote upon the Merger Proposal, the Advisory Compensation Proposal and the Adjournment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Surviving Corporation” refers to Synaptics after Merger Sub merges with and into Synaptics, with Synaptics surviving the Merger as a wholly-owned subsidiary of onsemi and as the surviving entity of the Merger; </w:t>
            </w:r>
          </w:p>
        </w:tc>
      </w:tr>
    </w:tbl>
    <w:tbl>
      <w:tblPr>
        <w:tblW w:w="5800" w:type="dxa"/>
        <w:jc w:val="left"/>
        <w:tblInd w:w="0" w:type="dxa"/>
        <w:tblLayout w:type="fixed"/>
        <w:tblCellMar>
          <w:top w:w="0" w:type="dxa"/>
          <w:left w:w="0" w:type="dxa"/>
          <w:bottom w:w="0" w:type="dxa"/>
          <w:right w:w="0" w:type="dxa"/>
        </w:tblCellMar>
      </w:tblPr>
      <w:tblGrid>
        <w:gridCol w:w="110"/>
        <w:gridCol w:w="5690"/>
      </w:tblGrid>
      <w:tr>
        <w:trPr/>
        <w:tc>
          <w:tcPr>
            <w:tcW w:w="110" w:type="dxa"/>
            <w:tcBorders/>
            <w:vAlign w:val="center"/>
          </w:tcPr>
          <w:p>
            <w:pPr>
              <w:pStyle w:val="TableContents"/>
              <w:bidi w:val="0"/>
              <w:spacing w:before="0" w:after="0"/>
              <w:jc w:val="left"/>
              <w:rPr>
                <w:color w:val="000000"/>
              </w:rPr>
            </w:pPr>
            <w:r>
              <w:rPr>
                <w:color w:val="000000"/>
              </w:rPr>
              <w:t>•</w:t>
            </w:r>
          </w:p>
        </w:tc>
        <w:tc>
          <w:tcPr>
            <w:tcW w:w="569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refers to Synaptics Incorporated, a Delaware corporation; </w:t>
            </w:r>
          </w:p>
        </w:tc>
      </w:tr>
    </w:tbl>
    <w:tbl>
      <w:tblPr>
        <w:tblW w:w="5245" w:type="dxa"/>
        <w:jc w:val="left"/>
        <w:tblInd w:w="0" w:type="dxa"/>
        <w:tblLayout w:type="fixed"/>
        <w:tblCellMar>
          <w:top w:w="0" w:type="dxa"/>
          <w:left w:w="0" w:type="dxa"/>
          <w:bottom w:w="0" w:type="dxa"/>
          <w:right w:w="0" w:type="dxa"/>
        </w:tblCellMar>
      </w:tblPr>
      <w:tblGrid>
        <w:gridCol w:w="110"/>
        <w:gridCol w:w="5135"/>
      </w:tblGrid>
      <w:tr>
        <w:trPr/>
        <w:tc>
          <w:tcPr>
            <w:tcW w:w="110" w:type="dxa"/>
            <w:tcBorders/>
            <w:vAlign w:val="center"/>
          </w:tcPr>
          <w:p>
            <w:pPr>
              <w:pStyle w:val="TableContents"/>
              <w:bidi w:val="0"/>
              <w:spacing w:before="0" w:after="0"/>
              <w:jc w:val="left"/>
              <w:rPr>
                <w:color w:val="000000"/>
              </w:rPr>
            </w:pPr>
            <w:r>
              <w:rPr>
                <w:color w:val="000000"/>
              </w:rPr>
              <w:t>•</w:t>
            </w:r>
          </w:p>
        </w:tc>
        <w:tc>
          <w:tcPr>
            <w:tcW w:w="513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board” refers to the board of directors of Synaptics; </w:t>
            </w:r>
          </w:p>
        </w:tc>
      </w:tr>
    </w:tbl>
    <w:tbl>
      <w:tblPr>
        <w:tblW w:w="7030" w:type="dxa"/>
        <w:jc w:val="left"/>
        <w:tblInd w:w="0" w:type="dxa"/>
        <w:tblLayout w:type="fixed"/>
        <w:tblCellMar>
          <w:top w:w="0" w:type="dxa"/>
          <w:left w:w="0" w:type="dxa"/>
          <w:bottom w:w="0" w:type="dxa"/>
          <w:right w:w="0" w:type="dxa"/>
        </w:tblCellMar>
      </w:tblPr>
      <w:tblGrid>
        <w:gridCol w:w="110"/>
        <w:gridCol w:w="6920"/>
      </w:tblGrid>
      <w:tr>
        <w:trPr/>
        <w:tc>
          <w:tcPr>
            <w:tcW w:w="110" w:type="dxa"/>
            <w:tcBorders/>
            <w:vAlign w:val="center"/>
          </w:tcPr>
          <w:p>
            <w:pPr>
              <w:pStyle w:val="TableContents"/>
              <w:bidi w:val="0"/>
              <w:spacing w:before="0" w:after="0"/>
              <w:jc w:val="left"/>
              <w:rPr>
                <w:color w:val="000000"/>
              </w:rPr>
            </w:pPr>
            <w:r>
              <w:rPr>
                <w:color w:val="000000"/>
              </w:rPr>
              <w:t>•</w:t>
            </w:r>
          </w:p>
        </w:tc>
        <w:tc>
          <w:tcPr>
            <w:tcW w:w="692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bylaws” refers to the Fourth Amended and Restated Bylaws of Synaptics; </w:t>
            </w:r>
          </w:p>
        </w:tc>
      </w:tr>
    </w:tbl>
    <w:tbl>
      <w:tblPr>
        <w:tblW w:w="8785" w:type="dxa"/>
        <w:jc w:val="left"/>
        <w:tblInd w:w="0" w:type="dxa"/>
        <w:tblLayout w:type="fixed"/>
        <w:tblCellMar>
          <w:top w:w="0" w:type="dxa"/>
          <w:left w:w="0" w:type="dxa"/>
          <w:bottom w:w="0" w:type="dxa"/>
          <w:right w:w="0" w:type="dxa"/>
        </w:tblCellMar>
      </w:tblPr>
      <w:tblGrid>
        <w:gridCol w:w="110"/>
        <w:gridCol w:w="8675"/>
      </w:tblGrid>
      <w:tr>
        <w:trPr/>
        <w:tc>
          <w:tcPr>
            <w:tcW w:w="110" w:type="dxa"/>
            <w:tcBorders/>
            <w:vAlign w:val="center"/>
          </w:tcPr>
          <w:p>
            <w:pPr>
              <w:pStyle w:val="TableContents"/>
              <w:bidi w:val="0"/>
              <w:spacing w:before="0" w:after="0"/>
              <w:jc w:val="left"/>
              <w:rPr>
                <w:color w:val="000000"/>
              </w:rPr>
            </w:pPr>
            <w:r>
              <w:rPr>
                <w:color w:val="000000"/>
              </w:rPr>
              <w:t>•</w:t>
            </w:r>
          </w:p>
        </w:tc>
        <w:tc>
          <w:tcPr>
            <w:tcW w:w="867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common stock” refers to the common stock, par value $0.001 par value per share, of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refers to the 0.75% Convertible Senior Notes due 2031 issued by Synaptics Incorporated under the Synaptics Convertible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Convertible Notes Indenture” refers to the Indenture, dated as of November 19, 2024, between Synaptics and U.S. Bank Trust Company, National Association, as trustee, including each amendment, modification or supplement thereto, governing the terms of the Synaptics Convertible Notes;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Equity Agreements” refers to the (i) Synaptics 2019 Inducement Equity Plan, (ii) Synaptics 2025 Inducement Equity Plan, (iii) Synaptics Amended and Restated 2019 Equity and Incentive Compensation Plan, each of (i) –(iii) as amended, and (iv) related grant agreements under each of (i)-(iii) evidencing Synaptics RSUs, Synaptics PSUs, and Synaptics MSUs thereunder; </w:t>
            </w:r>
          </w:p>
        </w:tc>
      </w:tr>
    </w:tbl>
    <w:tbl>
      <w:tblPr>
        <w:tblW w:w="8335" w:type="dxa"/>
        <w:jc w:val="left"/>
        <w:tblInd w:w="0" w:type="dxa"/>
        <w:tblLayout w:type="fixed"/>
        <w:tblCellMar>
          <w:top w:w="0" w:type="dxa"/>
          <w:left w:w="0" w:type="dxa"/>
          <w:bottom w:w="0" w:type="dxa"/>
          <w:right w:w="0" w:type="dxa"/>
        </w:tblCellMar>
      </w:tblPr>
      <w:tblGrid>
        <w:gridCol w:w="110"/>
        <w:gridCol w:w="8225"/>
      </w:tblGrid>
      <w:tr>
        <w:trPr/>
        <w:tc>
          <w:tcPr>
            <w:tcW w:w="110" w:type="dxa"/>
            <w:tcBorders/>
            <w:vAlign w:val="center"/>
          </w:tcPr>
          <w:p>
            <w:pPr>
              <w:pStyle w:val="TableContents"/>
              <w:bidi w:val="0"/>
              <w:spacing w:before="0" w:after="0"/>
              <w:jc w:val="left"/>
              <w:rPr>
                <w:color w:val="000000"/>
              </w:rPr>
            </w:pPr>
            <w:r>
              <w:rPr>
                <w:color w:val="000000"/>
              </w:rPr>
              <w:t>•</w:t>
            </w:r>
          </w:p>
        </w:tc>
        <w:tc>
          <w:tcPr>
            <w:tcW w:w="8225"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MSU” refers to a market stock unit granted pursuant to the Synaptics Equity Agreements; </w:t>
            </w:r>
          </w:p>
        </w:tc>
      </w:tr>
    </w:tbl>
    <w:tbl>
      <w:tblPr>
        <w:tblW w:w="9610" w:type="dxa"/>
        <w:jc w:val="left"/>
        <w:tblInd w:w="0" w:type="dxa"/>
        <w:tblLayout w:type="fixed"/>
        <w:tblCellMar>
          <w:top w:w="0" w:type="dxa"/>
          <w:left w:w="0" w:type="dxa"/>
          <w:bottom w:w="0" w:type="dxa"/>
          <w:right w:w="0" w:type="dxa"/>
        </w:tblCellMar>
      </w:tblPr>
      <w:tblGrid>
        <w:gridCol w:w="110"/>
        <w:gridCol w:w="9500"/>
      </w:tblGrid>
      <w:tr>
        <w:trPr/>
        <w:tc>
          <w:tcPr>
            <w:tcW w:w="110" w:type="dxa"/>
            <w:tcBorders/>
            <w:vAlign w:val="center"/>
          </w:tcPr>
          <w:p>
            <w:pPr>
              <w:pStyle w:val="TableContents"/>
              <w:bidi w:val="0"/>
              <w:spacing w:before="0" w:after="0"/>
              <w:jc w:val="left"/>
              <w:rPr>
                <w:color w:val="000000"/>
              </w:rPr>
            </w:pPr>
            <w:r>
              <w:rPr>
                <w:color w:val="000000"/>
              </w:rPr>
              <w:t>•</w:t>
            </w:r>
          </w:p>
        </w:tc>
        <w:tc>
          <w:tcPr>
            <w:tcW w:w="9500"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PIIA” refers to the Synaptics Incorporated Proprietary Information and Invention Assignment Agreement; </w:t>
            </w:r>
          </w:p>
        </w:tc>
      </w:tr>
    </w:tbl>
    <w:tbl>
      <w:tblPr>
        <w:tblW w:w="8710" w:type="dxa"/>
        <w:jc w:val="left"/>
        <w:tblInd w:w="0" w:type="dxa"/>
        <w:tblLayout w:type="fixed"/>
        <w:tblCellMar>
          <w:top w:w="0" w:type="dxa"/>
          <w:left w:w="0" w:type="dxa"/>
          <w:bottom w:w="0" w:type="dxa"/>
          <w:right w:w="0" w:type="dxa"/>
        </w:tblCellMar>
      </w:tblPr>
      <w:tblGrid>
        <w:gridCol w:w="110"/>
        <w:gridCol w:w="8600"/>
      </w:tblGrid>
      <w:tr>
        <w:trPr/>
        <w:tc>
          <w:tcPr>
            <w:tcW w:w="110" w:type="dxa"/>
            <w:tcBorders/>
            <w:vAlign w:val="center"/>
          </w:tcPr>
          <w:p>
            <w:pPr>
              <w:pStyle w:val="TableContents"/>
              <w:bidi w:val="0"/>
              <w:spacing w:before="0" w:after="0"/>
              <w:jc w:val="left"/>
              <w:rPr>
                <w:color w:val="000000"/>
              </w:rPr>
            </w:pPr>
            <w:r>
              <w:rPr>
                <w:color w:val="000000"/>
              </w:rPr>
              <w:t>•</w:t>
            </w:r>
          </w:p>
        </w:tc>
        <w:tc>
          <w:tcPr>
            <w:tcW w:w="860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 xml:space="preserve">Synaptics PSU” refers to a performance stock unit granted pursuant to the Synaptics Equity Agreements; </w:t>
            </w:r>
          </w:p>
        </w:tc>
      </w:tr>
    </w:tbl>
    <w:tbl>
      <w:tblPr>
        <w:tblW w:w="8440" w:type="dxa"/>
        <w:jc w:val="left"/>
        <w:tblInd w:w="0" w:type="dxa"/>
        <w:tblLayout w:type="fixed"/>
        <w:tblCellMar>
          <w:top w:w="0" w:type="dxa"/>
          <w:left w:w="0" w:type="dxa"/>
          <w:bottom w:w="0" w:type="dxa"/>
          <w:right w:w="0" w:type="dxa"/>
        </w:tblCellMar>
      </w:tblPr>
      <w:tblGrid>
        <w:gridCol w:w="110"/>
        <w:gridCol w:w="8330"/>
      </w:tblGrid>
      <w:tr>
        <w:trPr/>
        <w:tc>
          <w:tcPr>
            <w:tcW w:w="110" w:type="dxa"/>
            <w:tcBorders/>
            <w:vAlign w:val="center"/>
          </w:tcPr>
          <w:p>
            <w:pPr>
              <w:pStyle w:val="TableContents"/>
              <w:bidi w:val="0"/>
              <w:spacing w:before="0" w:after="0"/>
              <w:jc w:val="left"/>
              <w:rPr>
                <w:color w:val="000000"/>
              </w:rPr>
            </w:pPr>
            <w:r>
              <w:rPr>
                <w:color w:val="000000"/>
              </w:rPr>
              <w:t>•</w:t>
            </w:r>
          </w:p>
        </w:tc>
        <w:tc>
          <w:tcPr>
            <w:tcW w:w="8330" w:type="dxa"/>
            <w:tcBorders/>
            <w:vAlign w:val="center"/>
          </w:tcPr>
          <w:p>
            <w:pPr>
              <w:pStyle w:val="TableContents"/>
              <w:bidi w:val="0"/>
              <w:spacing w:before="0" w:after="0"/>
              <w:jc w:val="left"/>
              <w:rPr>
                <w:color w:val="000000"/>
              </w:rPr>
            </w:pPr>
            <w:r>
              <w:rPr>
                <w:color w:val="000000"/>
              </w:rPr>
              <w:t>“</w:t>
            </w:r>
            <w:r>
              <w:rPr>
                <w:rFonts w:ascii="Times New Roman;Times;serif" w:hAnsi="Times New Roman;Times;serif"/>
                <w:color w:val="000000"/>
                <w:sz w:val="20"/>
              </w:rPr>
              <w:t>Synaptics RSU” refers to a restricted stock unit granted pursuant to the Synaptics Equity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refers to the 4.000% Senior Notes due 2029 issued by Synaptics under the Synaptics Senior Notes Indenture;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Synaptics Senior Notes Indenture” refers to the Indenture, dated as of March 11, 2021, among Synaptics, the Synaptics subsidiary guarantors party thereto, and Wells Fargo Bank, National Association, as trustee, including each amendment, modification or supplement thereto, governing the terms of the Synaptics Senior Notes; and </w:t>
            </w:r>
          </w:p>
        </w:tc>
      </w:tr>
    </w:tbl>
    <w:tbl>
      <w:tblPr>
        <w:tblW w:w="9115" w:type="dxa"/>
        <w:jc w:val="left"/>
        <w:tblInd w:w="0" w:type="dxa"/>
        <w:tblLayout w:type="fixed"/>
        <w:tblCellMar>
          <w:top w:w="0" w:type="dxa"/>
          <w:left w:w="0" w:type="dxa"/>
          <w:bottom w:w="0" w:type="dxa"/>
          <w:right w:w="0" w:type="dxa"/>
        </w:tblCellMar>
      </w:tblPr>
      <w:tblGrid>
        <w:gridCol w:w="110"/>
        <w:gridCol w:w="9005"/>
      </w:tblGrid>
      <w:tr>
        <w:trPr/>
        <w:tc>
          <w:tcPr>
            <w:tcW w:w="110" w:type="dxa"/>
            <w:tcBorders/>
            <w:vAlign w:val="center"/>
          </w:tcPr>
          <w:p>
            <w:pPr>
              <w:pStyle w:val="TableContents"/>
              <w:bidi w:val="0"/>
              <w:spacing w:before="0" w:after="0"/>
              <w:jc w:val="left"/>
              <w:rPr>
                <w:color w:val="000000"/>
              </w:rPr>
            </w:pPr>
            <w:r>
              <w:rPr>
                <w:color w:val="000000"/>
              </w:rPr>
              <w:t>•</w:t>
            </w:r>
          </w:p>
        </w:tc>
        <w:tc>
          <w:tcPr>
            <w:tcW w:w="9005" w:type="dxa"/>
            <w:tcBorders/>
            <w:vAlign w:val="center"/>
          </w:tcPr>
          <w:p>
            <w:pPr>
              <w:pStyle w:val="TableContents"/>
              <w:bidi w:val="0"/>
              <w:spacing w:before="0" w:after="0"/>
              <w:jc w:val="both"/>
              <w:rPr>
                <w:color w:val="000000"/>
              </w:rPr>
            </w:pPr>
            <w:r>
              <w:rPr>
                <w:color w:val="000000"/>
              </w:rPr>
              <w:t>“</w:t>
            </w:r>
            <w:r>
              <w:rPr>
                <w:rFonts w:ascii="Times New Roman;Times;serif" w:hAnsi="Times New Roman;Times;serif"/>
                <w:color w:val="000000"/>
                <w:sz w:val="20"/>
              </w:rPr>
              <w:t xml:space="preserve">transactions” refers to each of the transactions contemplated by the Merger Agreement, including the Merger. </w:t>
            </w:r>
          </w:p>
        </w:tc>
      </w:tr>
    </w:tbl>
    <w:p>
      <w:pPr>
        <w:pStyle w:val="HorizontalLine"/>
        <w:pBdr>
          <w:bottom w:val="single" w:sz="12" w:space="0" w:color="808080"/>
        </w:pBdr>
        <w:bidi w:val="0"/>
        <w:spacing w:before="200" w:after="200"/>
        <w:jc w:val="left"/>
        <w:rPr/>
      </w:pPr>
      <w:r>
        <w:rPr/>
      </w:r>
    </w:p>
    <w:p>
      <w:pPr>
        <w:pStyle w:val="TextBody"/>
        <w:bidi w:val="0"/>
        <w:jc w:val="left"/>
        <w:rPr/>
      </w:pPr>
      <w:hyperlink w:anchor="TOC">
        <w:bookmarkStart w:id="9" w:name="ny20081083x2_defm14a_105-toc_pg1"/>
        <w:bookmarkEnd w:id="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 xml:space="preserve">TABLE OF CONTENTS </w:t>
      </w:r>
    </w:p>
    <w:p>
      <w:pPr>
        <w:pStyle w:val="Normal"/>
        <w:bidi w:val="0"/>
        <w:spacing w:before="0" w:after="0"/>
        <w:jc w:val="left"/>
        <w:rPr>
          <w:sz w:val="4"/>
          <w:szCs w:val="4"/>
        </w:rPr>
      </w:pPr>
      <w:r>
        <w:rPr>
          <w:sz w:val="4"/>
          <w:szCs w:val="4"/>
        </w:rPr>
      </w:r>
      <w:bookmarkStart w:id="10" w:name="TOC"/>
      <w:bookmarkStart w:id="11" w:name="TOC"/>
      <w:bookmarkEnd w:id="11"/>
    </w:p>
    <w:tbl>
      <w:tblPr>
        <w:tblW w:w="10205" w:type="dxa"/>
        <w:jc w:val="left"/>
        <w:tblInd w:w="0" w:type="dxa"/>
        <w:tblLayout w:type="fixed"/>
        <w:tblCellMar>
          <w:top w:w="0" w:type="dxa"/>
          <w:left w:w="0" w:type="dxa"/>
          <w:bottom w:w="0" w:type="dxa"/>
          <w:right w:w="0" w:type="dxa"/>
        </w:tblCellMar>
      </w:tblPr>
      <w:tblGrid>
        <w:gridCol w:w="358"/>
        <w:gridCol w:w="179"/>
        <w:gridCol w:w="179"/>
        <w:gridCol w:w="8857"/>
        <w:gridCol w:w="140"/>
        <w:gridCol w:w="140"/>
        <w:gridCol w:w="352"/>
      </w:tblGrid>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r>
        <w:trPr/>
        <w:tc>
          <w:tcPr>
            <w:tcW w:w="9573" w:type="dxa"/>
            <w:gridSpan w:val="4"/>
            <w:tcBorders/>
            <w:shd w:fill="CCEEFF" w:val="clear"/>
            <w:vAlign w:val="center"/>
          </w:tcPr>
          <w:p>
            <w:pPr>
              <w:pStyle w:val="TableContents"/>
              <w:bidi w:val="0"/>
              <w:spacing w:before="0" w:after="283"/>
              <w:ind w:left="0" w:right="0" w:hanging="0"/>
              <w:jc w:val="left"/>
              <w:rPr/>
            </w:pPr>
            <w:hyperlink w:anchor="tQA">
              <w:r>
                <w:rPr>
                  <w:rStyle w:val="InternetLink"/>
                  <w:rFonts w:ascii="Times New Roman;Times;serif" w:hAnsi="Times New Roman;Times;serif"/>
                  <w:color w:val="000000"/>
                  <w:sz w:val="20"/>
                </w:rPr>
                <w:t>QUESTIONS AND ANSWERS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QA">
              <w:r>
                <w:rPr>
                  <w:rStyle w:val="InternetLink"/>
                  <w:rFonts w:ascii="Times New Roman;Times;serif" w:hAnsi="Times New Roman;Times;serif"/>
                  <w:color w:val="000000"/>
                  <w:sz w:val="20"/>
                </w:rPr>
                <w:t>1</w:t>
              </w:r>
            </w:hyperlink>
          </w:p>
        </w:tc>
      </w:tr>
      <w:tr>
        <w:trPr/>
        <w:tc>
          <w:tcPr>
            <w:tcW w:w="9573" w:type="dxa"/>
            <w:gridSpan w:val="4"/>
            <w:tcBorders/>
            <w:vAlign w:val="center"/>
          </w:tcPr>
          <w:p>
            <w:pPr>
              <w:pStyle w:val="TableContents"/>
              <w:bidi w:val="0"/>
              <w:spacing w:before="0" w:after="283"/>
              <w:ind w:left="0" w:right="0" w:hanging="0"/>
              <w:jc w:val="left"/>
              <w:rPr/>
            </w:pPr>
            <w:hyperlink w:anchor="tSUM">
              <w:r>
                <w:rPr>
                  <w:rStyle w:val="InternetLink"/>
                  <w:rFonts w:ascii="Times New Roman;Times;serif" w:hAnsi="Times New Roman;Times;serif"/>
                  <w:color w:val="000000"/>
                  <w:sz w:val="20"/>
                </w:rPr>
                <w:t>SUMMARY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
              <w:r>
                <w:rPr>
                  <w:rStyle w:val="InternetLink"/>
                  <w:rFonts w:ascii="Times New Roman;Times;serif" w:hAnsi="Times New Roman;Times;serif"/>
                  <w:color w:val="000000"/>
                  <w:sz w:val="20"/>
                </w:rPr>
                <w:t>10</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
              <w:r>
                <w:rPr>
                  <w:rStyle w:val="InternetLink"/>
                  <w:rFonts w:ascii="Times New Roman;Times;serif" w:hAnsi="Times New Roman;Times;serif"/>
                  <w:color w:val="000000"/>
                  <w:sz w:val="20"/>
                </w:rPr>
                <w:t>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
              <w:r>
                <w:rPr>
                  <w:rStyle w:val="InternetLink"/>
                  <w:rFonts w:ascii="Times New Roman;Times;serif" w:hAnsi="Times New Roman;Times;serif"/>
                  <w:color w:val="000000"/>
                  <w:sz w:val="20"/>
                </w:rPr>
                <w:t>INFORMATION ABOUT THE COMPANIES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
              <w:r>
                <w:rPr>
                  <w:rStyle w:val="InternetLink"/>
                  <w:rFonts w:ascii="Times New Roman;Times;serif" w:hAnsi="Times New Roman;Times;serif"/>
                  <w:color w:val="000000"/>
                  <w:sz w:val="20"/>
                </w:rPr>
                <w:t>10</w:t>
              </w:r>
            </w:hyperlink>
            <w:hyperlink w:anchor="tSUM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
              <w:r>
                <w:rPr>
                  <w:rStyle w:val="InternetLink"/>
                  <w:rFonts w:ascii="Times New Roman;Times;serif" w:hAnsi="Times New Roman;Times;serif"/>
                  <w:color w:val="000000"/>
                  <w:sz w:val="20"/>
                </w:rPr>
                <w:t>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
              <w:r>
                <w:rPr>
                  <w:rStyle w:val="InternetLink"/>
                  <w:rFonts w:ascii="Times New Roman;Times;serif" w:hAnsi="Times New Roman;Times;serif"/>
                  <w:color w:val="000000"/>
                  <w:sz w:val="20"/>
                </w:rPr>
                <w:t>THE MERGER AND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
              <w:r>
                <w:rPr>
                  <w:rStyle w:val="InternetLink"/>
                  <w:rFonts w:ascii="Times New Roman;Times;serif" w:hAnsi="Times New Roman;Times;serif"/>
                  <w:color w:val="000000"/>
                  <w:sz w:val="20"/>
                </w:rPr>
                <w:t>10</w:t>
              </w:r>
            </w:hyperlink>
            <w:hyperlink w:anchor="tSUM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3">
              <w:r>
                <w:rPr>
                  <w:rStyle w:val="InternetLink"/>
                  <w:rFonts w:ascii="Times New Roman;Times;serif" w:hAnsi="Times New Roman;Times;serif"/>
                  <w:color w:val="000000"/>
                  <w:sz w:val="20"/>
                </w:rPr>
                <w:t>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3">
              <w:r>
                <w:rPr>
                  <w:rStyle w:val="InternetLink"/>
                  <w:rFonts w:ascii="Times New Roman;Times;serif" w:hAnsi="Times New Roman;Times;serif"/>
                  <w:color w:val="000000"/>
                  <w:sz w:val="20"/>
                </w:rPr>
                <w:t>MERGER CONSIDERATION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3">
              <w:r>
                <w:rPr>
                  <w:rStyle w:val="InternetLink"/>
                  <w:rFonts w:ascii="Times New Roman;Times;serif" w:hAnsi="Times New Roman;Times;serif"/>
                  <w:color w:val="000000"/>
                  <w:sz w:val="20"/>
                </w:rPr>
                <w:t>11</w:t>
              </w:r>
            </w:hyperlink>
            <w:hyperlink w:anchor="tSUM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5">
              <w:r>
                <w:rPr>
                  <w:rStyle w:val="InternetLink"/>
                  <w:rFonts w:ascii="Times New Roman;Times;serif" w:hAnsi="Times New Roman;Times;serif"/>
                  <w:color w:val="000000"/>
                  <w:sz w:val="20"/>
                </w:rPr>
                <w:t>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5">
              <w:r>
                <w:rPr>
                  <w:rStyle w:val="InternetLink"/>
                  <w:rFonts w:ascii="Times New Roman;Times;serif" w:hAnsi="Times New Roman;Times;serif"/>
                  <w:color w:val="000000"/>
                  <w:sz w:val="20"/>
                </w:rPr>
                <w:t>EXPECTED TIMING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5">
              <w:r>
                <w:rPr>
                  <w:rStyle w:val="InternetLink"/>
                  <w:rFonts w:ascii="Times New Roman;Times;serif" w:hAnsi="Times New Roman;Times;serif"/>
                  <w:color w:val="000000"/>
                  <w:sz w:val="20"/>
                </w:rPr>
                <w:t>11</w:t>
              </w:r>
            </w:hyperlink>
            <w:hyperlink w:anchor="tSUM5">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8">
              <w:r>
                <w:rPr>
                  <w:rStyle w:val="InternetLink"/>
                  <w:rFonts w:ascii="Times New Roman;Times;serif" w:hAnsi="Times New Roman;Times;serif"/>
                  <w:color w:val="000000"/>
                  <w:sz w:val="20"/>
                </w:rPr>
                <w:t>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200" w:right="0" w:hanging="200"/>
              <w:jc w:val="left"/>
              <w:rPr/>
            </w:pPr>
            <w:hyperlink w:anchor="tSUM8">
              <w:r>
                <w:rPr>
                  <w:rStyle w:val="InternetLink"/>
                  <w:rFonts w:ascii="Times New Roman;Times;serif" w:hAnsi="Times New Roman;Times;serif"/>
                  <w:color w:val="000000"/>
                  <w:sz w:val="20"/>
                </w:rPr>
                <w:t>RECOMMENDATION OF SYNAPTICS’ BOARD OF DIRECTORS AND REASONS FOR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8">
              <w:r>
                <w:rPr>
                  <w:rStyle w:val="InternetLink"/>
                  <w:rFonts w:ascii="Times New Roman;Times;serif" w:hAnsi="Times New Roman;Times;serif"/>
                  <w:color w:val="000000"/>
                  <w:sz w:val="20"/>
                </w:rPr>
                <w:t>11</w:t>
              </w:r>
            </w:hyperlink>
            <w:hyperlink w:anchor="tSUM8">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9">
              <w:r>
                <w:rPr>
                  <w:rStyle w:val="InternetLink"/>
                  <w:rFonts w:ascii="Times New Roman;Times;serif" w:hAnsi="Times New Roman;Times;serif"/>
                  <w:color w:val="000000"/>
                  <w:sz w:val="20"/>
                </w:rPr>
                <w:t>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9">
              <w:r>
                <w:rPr>
                  <w:rStyle w:val="InternetLink"/>
                  <w:rFonts w:ascii="Times New Roman;Times;serif" w:hAnsi="Times New Roman;Times;serif"/>
                  <w:color w:val="000000"/>
                  <w:sz w:val="20"/>
                </w:rPr>
                <w:t>OPINION OF QATALYST PARTNERS LP, SYNAPTICS’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9">
              <w:r>
                <w:rPr>
                  <w:rStyle w:val="InternetLink"/>
                  <w:rFonts w:ascii="Times New Roman;Times;serif" w:hAnsi="Times New Roman;Times;serif"/>
                  <w:color w:val="000000"/>
                  <w:sz w:val="20"/>
                </w:rPr>
                <w:t>11</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0">
              <w:r>
                <w:rPr>
                  <w:rStyle w:val="InternetLink"/>
                  <w:rFonts w:ascii="Times New Roman;Times;serif" w:hAnsi="Times New Roman;Times;serif"/>
                  <w:color w:val="000000"/>
                  <w:sz w:val="20"/>
                </w:rPr>
                <w:t>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0">
              <w:r>
                <w:rPr>
                  <w:rStyle w:val="InternetLink"/>
                  <w:rFonts w:ascii="Times New Roman;Times;serif" w:hAnsi="Times New Roman;Times;serif"/>
                  <w:color w:val="000000"/>
                  <w:sz w:val="20"/>
                </w:rPr>
                <w:t>SPECIAL MEETING OF SYNAPTICS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0">
              <w:r>
                <w:rPr>
                  <w:rStyle w:val="InternetLink"/>
                  <w:rFonts w:ascii="Times New Roman;Times;serif" w:hAnsi="Times New Roman;Times;serif"/>
                  <w:color w:val="000000"/>
                  <w:sz w:val="20"/>
                </w:rPr>
                <w:t>12</w:t>
              </w:r>
            </w:hyperlink>
            <w:hyperlink w:anchor="tSUM10">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2">
              <w:r>
                <w:rPr>
                  <w:rStyle w:val="InternetLink"/>
                  <w:rFonts w:ascii="Times New Roman;Times;serif" w:hAnsi="Times New Roman;Times;serif"/>
                  <w:color w:val="000000"/>
                  <w:sz w:val="20"/>
                </w:rPr>
                <w:t>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2">
              <w:r>
                <w:rPr>
                  <w:rStyle w:val="InternetLink"/>
                  <w:rFonts w:ascii="Times New Roman;Times;serif" w:hAnsi="Times New Roman;Times;serif"/>
                  <w:color w:val="000000"/>
                  <w:sz w:val="20"/>
                </w:rPr>
                <w:t>INTERESTS OF SYNAPTICS’ DIRECTORS AND EXECUTIVE OFFICERS IN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2">
              <w:r>
                <w:rPr>
                  <w:rStyle w:val="InternetLink"/>
                  <w:rFonts w:ascii="Times New Roman;Times;serif" w:hAnsi="Times New Roman;Times;serif"/>
                  <w:color w:val="000000"/>
                  <w:sz w:val="20"/>
                </w:rPr>
                <w:t>14</w:t>
              </w:r>
            </w:hyperlink>
            <w:hyperlink w:anchor="tSUM12">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3">
              <w:r>
                <w:rPr>
                  <w:rStyle w:val="InternetLink"/>
                  <w:rFonts w:ascii="Times New Roman;Times;serif" w:hAnsi="Times New Roman;Times;serif"/>
                  <w:color w:val="000000"/>
                  <w:sz w:val="20"/>
                </w:rPr>
                <w:t>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3">
              <w:r>
                <w:rPr>
                  <w:rStyle w:val="InternetLink"/>
                  <w:rFonts w:ascii="Times New Roman;Times;serif" w:hAnsi="Times New Roman;Times;serif"/>
                  <w:color w:val="000000"/>
                  <w:sz w:val="20"/>
                </w:rPr>
                <w:t>CONDITIONS TO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3">
              <w:r>
                <w:rPr>
                  <w:rStyle w:val="InternetLink"/>
                  <w:rFonts w:ascii="Times New Roman;Times;serif" w:hAnsi="Times New Roman;Times;serif"/>
                  <w:color w:val="000000"/>
                  <w:sz w:val="20"/>
                </w:rPr>
                <w:t>14</w:t>
              </w:r>
            </w:hyperlink>
            <w:hyperlink w:anchor="tSUM13">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4">
              <w:r>
                <w:rPr>
                  <w:rStyle w:val="InternetLink"/>
                  <w:rFonts w:ascii="Times New Roman;Times;serif" w:hAnsi="Times New Roman;Times;serif"/>
                  <w:color w:val="000000"/>
                  <w:sz w:val="20"/>
                </w:rPr>
                <w:t>10.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4">
              <w:r>
                <w:rPr>
                  <w:rStyle w:val="InternetLink"/>
                  <w:rFonts w:ascii="Times New Roman;Times;serif" w:hAnsi="Times New Roman;Times;serif"/>
                  <w:color w:val="000000"/>
                  <w:sz w:val="20"/>
                </w:rPr>
                <w:t>REGULATORY APPROVALS REQUIRED FOR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4">
              <w:r>
                <w:rPr>
                  <w:rStyle w:val="InternetLink"/>
                  <w:rFonts w:ascii="Times New Roman;Times;serif" w:hAnsi="Times New Roman;Times;serif"/>
                  <w:color w:val="000000"/>
                  <w:sz w:val="20"/>
                </w:rPr>
                <w:t>14</w:t>
              </w:r>
            </w:hyperlink>
            <w:hyperlink w:anchor="tSUM1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5">
              <w:r>
                <w:rPr>
                  <w:rStyle w:val="InternetLink"/>
                  <w:rFonts w:ascii="Times New Roman;Times;serif" w:hAnsi="Times New Roman;Times;serif"/>
                  <w:color w:val="000000"/>
                  <w:sz w:val="20"/>
                </w:rPr>
                <w:t>11.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5">
              <w:r>
                <w:rPr>
                  <w:rStyle w:val="InternetLink"/>
                  <w:rFonts w:ascii="Times New Roman;Times;serif" w:hAnsi="Times New Roman;Times;serif"/>
                  <w:color w:val="000000"/>
                  <w:sz w:val="20"/>
                </w:rPr>
                <w:t>TERMINATION OF 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5">
              <w:r>
                <w:rPr>
                  <w:rStyle w:val="InternetLink"/>
                  <w:rFonts w:ascii="Times New Roman;Times;serif" w:hAnsi="Times New Roman;Times;serif"/>
                  <w:color w:val="000000"/>
                  <w:sz w:val="20"/>
                </w:rPr>
                <w:t>15</w:t>
              </w:r>
            </w:hyperlink>
            <w:hyperlink w:anchor="tSUM1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6">
              <w:r>
                <w:rPr>
                  <w:rStyle w:val="InternetLink"/>
                  <w:rFonts w:ascii="Times New Roman;Times;serif" w:hAnsi="Times New Roman;Times;serif"/>
                  <w:color w:val="000000"/>
                  <w:sz w:val="20"/>
                </w:rPr>
                <w:t>12.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6">
              <w:r>
                <w:rPr>
                  <w:rStyle w:val="InternetLink"/>
                  <w:rFonts w:ascii="Times New Roman;Times;serif" w:hAnsi="Times New Roman;Times;serif"/>
                  <w:color w:val="000000"/>
                  <w:sz w:val="20"/>
                </w:rPr>
                <w:t>TERMINATION FEE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6">
              <w:r>
                <w:rPr>
                  <w:rStyle w:val="InternetLink"/>
                  <w:rFonts w:ascii="Times New Roman;Times;serif" w:hAnsi="Times New Roman;Times;serif"/>
                  <w:color w:val="000000"/>
                  <w:sz w:val="20"/>
                </w:rPr>
                <w:t>16</w:t>
              </w:r>
            </w:hyperlink>
            <w:hyperlink w:anchor="tSUM16">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17">
              <w:r>
                <w:rPr>
                  <w:rStyle w:val="InternetLink"/>
                  <w:rFonts w:ascii="Times New Roman;Times;serif" w:hAnsi="Times New Roman;Times;serif"/>
                  <w:color w:val="000000"/>
                  <w:sz w:val="20"/>
                </w:rPr>
                <w:t>13.</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17">
              <w:r>
                <w:rPr>
                  <w:rStyle w:val="InternetLink"/>
                  <w:rFonts w:ascii="Times New Roman;Times;serif" w:hAnsi="Times New Roman;Times;serif"/>
                  <w:color w:val="000000"/>
                  <w:sz w:val="20"/>
                </w:rPr>
                <w:t>APPRAISAL RIGHTS OF SYNAPTICS STOCKHOLDERS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17">
              <w:r>
                <w:rPr>
                  <w:rStyle w:val="InternetLink"/>
                  <w:rFonts w:ascii="Times New Roman;Times;serif" w:hAnsi="Times New Roman;Times;serif"/>
                  <w:color w:val="000000"/>
                  <w:sz w:val="20"/>
                </w:rPr>
                <w:t>16</w:t>
              </w:r>
            </w:hyperlink>
            <w:hyperlink w:anchor="tSUM17">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18">
              <w:r>
                <w:rPr>
                  <w:rStyle w:val="InternetLink"/>
                  <w:rFonts w:ascii="Times New Roman;Times;serif" w:hAnsi="Times New Roman;Times;serif"/>
                  <w:color w:val="000000"/>
                  <w:sz w:val="20"/>
                </w:rPr>
                <w:t>14.</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18">
              <w:r>
                <w:rPr>
                  <w:rStyle w:val="InternetLink"/>
                  <w:rFonts w:ascii="Times New Roman;Times;serif" w:hAnsi="Times New Roman;Times;serif"/>
                  <w:color w:val="000000"/>
                  <w:sz w:val="20"/>
                </w:rPr>
                <w:t>TREATMENT OF SYNAPTICS EQUITY AWARDS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18">
              <w:r>
                <w:rPr>
                  <w:rStyle w:val="InternetLink"/>
                  <w:rFonts w:ascii="Times New Roman;Times;serif" w:hAnsi="Times New Roman;Times;serif"/>
                  <w:color w:val="000000"/>
                  <w:sz w:val="20"/>
                </w:rPr>
                <w:t>16</w:t>
              </w:r>
            </w:hyperlink>
            <w:hyperlink w:anchor="tSUM18">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DOSS20">
              <w:r>
                <w:rPr>
                  <w:rStyle w:val="InternetLink"/>
                  <w:rFonts w:ascii="Times New Roman;Times;serif" w:hAnsi="Times New Roman;Times;serif"/>
                  <w:color w:val="000000"/>
                  <w:sz w:val="20"/>
                </w:rPr>
                <w:t>15.</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DOSS20">
              <w:r>
                <w:rPr>
                  <w:rStyle w:val="InternetLink"/>
                  <w:rFonts w:ascii="Times New Roman;Times;serif" w:hAnsi="Times New Roman;Times;serif"/>
                  <w:color w:val="000000"/>
                  <w:sz w:val="20"/>
                </w:rPr>
                <w:t>DELISTING OF SYNAPTICS SECURITIES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DOSS20">
              <w:r>
                <w:rPr>
                  <w:rStyle w:val="InternetLink"/>
                  <w:rFonts w:ascii="Times New Roman;Times;serif" w:hAnsi="Times New Roman;Times;serif"/>
                  <w:color w:val="000000"/>
                  <w:sz w:val="20"/>
                </w:rPr>
                <w:t>18</w:t>
              </w:r>
            </w:hyperlink>
          </w:p>
        </w:tc>
      </w:tr>
      <w:tr>
        <w:trPr/>
        <w:tc>
          <w:tcPr>
            <w:tcW w:w="358" w:type="dxa"/>
            <w:tcBorders/>
            <w:vAlign w:val="center"/>
          </w:tcPr>
          <w:p>
            <w:pPr>
              <w:pStyle w:val="TableContents"/>
              <w:bidi w:val="0"/>
              <w:spacing w:before="0" w:after="283"/>
              <w:ind w:left="200" w:right="0" w:hanging="0"/>
              <w:jc w:val="left"/>
              <w:rPr/>
            </w:pPr>
            <w:hyperlink w:anchor="tSUM20">
              <w:r>
                <w:rPr>
                  <w:rStyle w:val="InternetLink"/>
                  <w:rFonts w:ascii="Times New Roman;Times;serif" w:hAnsi="Times New Roman;Times;serif"/>
                  <w:color w:val="000000"/>
                  <w:sz w:val="20"/>
                </w:rPr>
                <w:t>16.</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0">
              <w:r>
                <w:rPr>
                  <w:rStyle w:val="InternetLink"/>
                  <w:rFonts w:ascii="Times New Roman;Times;serif" w:hAnsi="Times New Roman;Times;serif"/>
                  <w:color w:val="000000"/>
                  <w:sz w:val="20"/>
                </w:rPr>
                <w:t>NO SOLICITATION OF OTHER OFFERS BY SYNAPTICS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0">
              <w:r>
                <w:rPr>
                  <w:rStyle w:val="InternetLink"/>
                  <w:rFonts w:ascii="Times New Roman;Times;serif" w:hAnsi="Times New Roman;Times;serif"/>
                  <w:color w:val="000000"/>
                  <w:sz w:val="20"/>
                </w:rPr>
                <w:t>18</w:t>
              </w:r>
            </w:hyperlink>
            <w:hyperlink w:anchor="tSUM20">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1">
              <w:r>
                <w:rPr>
                  <w:rStyle w:val="InternetLink"/>
                  <w:rFonts w:ascii="Times New Roman;Times;serif" w:hAnsi="Times New Roman;Times;serif"/>
                  <w:color w:val="000000"/>
                  <w:sz w:val="20"/>
                </w:rPr>
                <w:t>17.</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1">
              <w:r>
                <w:rPr>
                  <w:rStyle w:val="InternetLink"/>
                  <w:rFonts w:ascii="Times New Roman;Times;serif" w:hAnsi="Times New Roman;Times;serif"/>
                  <w:color w:val="000000"/>
                  <w:sz w:val="20"/>
                </w:rPr>
                <w:t>SYNAPTICS CHANGE IN RECOMMENDATION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1">
              <w:r>
                <w:rPr>
                  <w:rStyle w:val="InternetLink"/>
                  <w:rFonts w:ascii="Times New Roman;Times;serif" w:hAnsi="Times New Roman;Times;serif"/>
                  <w:color w:val="000000"/>
                  <w:sz w:val="20"/>
                </w:rPr>
                <w:t>19</w:t>
              </w:r>
            </w:hyperlink>
            <w:hyperlink w:anchor="tSUM21">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FTM18">
              <w:r>
                <w:rPr>
                  <w:rStyle w:val="InternetLink"/>
                  <w:rFonts w:ascii="Times New Roman;Times;serif" w:hAnsi="Times New Roman;Times;serif"/>
                  <w:color w:val="000000"/>
                  <w:sz w:val="20"/>
                </w:rPr>
                <w:t>18.</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FTM18">
              <w:r>
                <w:rPr>
                  <w:rStyle w:val="InternetLink"/>
                  <w:rFonts w:ascii="Times New Roman;Times;serif" w:hAnsi="Times New Roman;Times;serif"/>
                  <w:color w:val="000000"/>
                  <w:sz w:val="20"/>
                </w:rPr>
                <w:t>FINANCING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FTM18">
              <w:r>
                <w:rPr>
                  <w:rStyle w:val="InternetLink"/>
                  <w:rFonts w:ascii="Times New Roman;Times;serif" w:hAnsi="Times New Roman;Times;serif"/>
                  <w:color w:val="000000"/>
                  <w:sz w:val="20"/>
                </w:rPr>
                <w:t>19</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2">
              <w:r>
                <w:rPr>
                  <w:rStyle w:val="InternetLink"/>
                  <w:rFonts w:ascii="Times New Roman;Times;serif" w:hAnsi="Times New Roman;Times;serif"/>
                  <w:color w:val="000000"/>
                  <w:sz w:val="20"/>
                </w:rPr>
                <w:t>19.</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2">
              <w:r>
                <w:rPr>
                  <w:rStyle w:val="InternetLink"/>
                  <w:rFonts w:ascii="Times New Roman;Times;serif" w:hAnsi="Times New Roman;Times;serif"/>
                  <w:color w:val="000000"/>
                  <w:sz w:val="20"/>
                </w:rPr>
                <w:t>U.S. FEDERAL INCOME TAX CONSEQUENCES OF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2">
              <w:r>
                <w:rPr>
                  <w:rStyle w:val="InternetLink"/>
                  <w:rFonts w:ascii="Times New Roman;Times;serif" w:hAnsi="Times New Roman;Times;serif"/>
                  <w:color w:val="000000"/>
                  <w:sz w:val="20"/>
                </w:rPr>
                <w:t>19</w:t>
              </w:r>
            </w:hyperlink>
            <w:hyperlink w:anchor="tSUM22">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4">
              <w:r>
                <w:rPr>
                  <w:rStyle w:val="InternetLink"/>
                  <w:rFonts w:ascii="Times New Roman;Times;serif" w:hAnsi="Times New Roman;Times;serif"/>
                  <w:color w:val="000000"/>
                  <w:sz w:val="20"/>
                </w:rPr>
                <w:t>20.</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4">
              <w:r>
                <w:rPr>
                  <w:rStyle w:val="InternetLink"/>
                  <w:rFonts w:ascii="Times New Roman;Times;serif" w:hAnsi="Times New Roman;Times;serif"/>
                  <w:color w:val="000000"/>
                  <w:sz w:val="20"/>
                </w:rPr>
                <w:t>TREATMENT OF SYNAPTICS’ INDEBTEDNESS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4">
              <w:r>
                <w:rPr>
                  <w:rStyle w:val="InternetLink"/>
                  <w:rFonts w:ascii="Times New Roman;Times;serif" w:hAnsi="Times New Roman;Times;serif"/>
                  <w:color w:val="000000"/>
                  <w:sz w:val="20"/>
                </w:rPr>
                <w:t>20</w:t>
              </w:r>
            </w:hyperlink>
            <w:hyperlink w:anchor="tSUM24">
              <w:r>
                <w:rPr>
                  <w:rStyle w:val="InternetLink"/>
                  <w:rFonts w:ascii="Times New Roman;Times;serif" w:hAnsi="Times New Roman;Times;serif"/>
                  <w:color w:val="000000"/>
                  <w:sz w:val="20"/>
                </w:rPr>
                <w:t xml:space="preserve"> </w:t>
              </w:r>
            </w:hyperlink>
          </w:p>
        </w:tc>
      </w:tr>
      <w:tr>
        <w:trPr/>
        <w:tc>
          <w:tcPr>
            <w:tcW w:w="358" w:type="dxa"/>
            <w:tcBorders/>
            <w:shd w:fill="CCEEFF" w:val="clear"/>
            <w:vAlign w:val="center"/>
          </w:tcPr>
          <w:p>
            <w:pPr>
              <w:pStyle w:val="TableContents"/>
              <w:bidi w:val="0"/>
              <w:spacing w:before="0" w:after="283"/>
              <w:ind w:left="200" w:right="0" w:hanging="0"/>
              <w:jc w:val="left"/>
              <w:rPr/>
            </w:pPr>
            <w:hyperlink w:anchor="tSUM25">
              <w:r>
                <w:rPr>
                  <w:rStyle w:val="InternetLink"/>
                  <w:rFonts w:ascii="Times New Roman;Times;serif" w:hAnsi="Times New Roman;Times;serif"/>
                  <w:color w:val="000000"/>
                  <w:sz w:val="20"/>
                </w:rPr>
                <w:t>21.</w:t>
              </w:r>
            </w:hyperlink>
          </w:p>
        </w:tc>
        <w:tc>
          <w:tcPr>
            <w:tcW w:w="179" w:type="dxa"/>
            <w:tcBorders/>
            <w:shd w:fill="CCEEFF" w:val="clear"/>
            <w:vAlign w:val="center"/>
          </w:tcPr>
          <w:p>
            <w:pPr>
              <w:pStyle w:val="TableContents"/>
              <w:bidi w:val="0"/>
              <w:spacing w:before="0" w:after="0"/>
              <w:jc w:val="left"/>
              <w:rPr/>
            </w:pPr>
            <w:r>
              <w:rPr/>
              <w:t> </w:t>
            </w:r>
          </w:p>
        </w:tc>
        <w:tc>
          <w:tcPr>
            <w:tcW w:w="179" w:type="dxa"/>
            <w:tcBorders/>
            <w:shd w:fill="CCEEFF" w:val="clear"/>
            <w:vAlign w:val="center"/>
          </w:tcPr>
          <w:p>
            <w:pPr>
              <w:pStyle w:val="TableContents"/>
              <w:bidi w:val="0"/>
              <w:spacing w:before="0" w:after="0"/>
              <w:jc w:val="left"/>
              <w:rPr/>
            </w:pPr>
            <w:r>
              <w:rPr/>
              <w:t> </w:t>
            </w:r>
          </w:p>
        </w:tc>
        <w:tc>
          <w:tcPr>
            <w:tcW w:w="8857" w:type="dxa"/>
            <w:tcBorders/>
            <w:shd w:fill="CCEEFF" w:val="clear"/>
            <w:vAlign w:val="center"/>
          </w:tcPr>
          <w:p>
            <w:pPr>
              <w:pStyle w:val="TableContents"/>
              <w:bidi w:val="0"/>
              <w:spacing w:before="0" w:after="283"/>
              <w:ind w:left="0" w:right="0" w:hanging="0"/>
              <w:jc w:val="left"/>
              <w:rPr/>
            </w:pPr>
            <w:hyperlink w:anchor="tSUM25">
              <w:r>
                <w:rPr>
                  <w:rStyle w:val="InternetLink"/>
                  <w:rFonts w:ascii="Times New Roman;Times;serif" w:hAnsi="Times New Roman;Times;serif"/>
                  <w:color w:val="000000"/>
                  <w:sz w:val="20"/>
                </w:rPr>
                <w:t>AMENDMENTS, REMEDIES, AND WAIVERS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UM25">
              <w:r>
                <w:rPr>
                  <w:rStyle w:val="InternetLink"/>
                  <w:rFonts w:ascii="Times New Roman;Times;serif" w:hAnsi="Times New Roman;Times;serif"/>
                  <w:color w:val="000000"/>
                  <w:sz w:val="20"/>
                </w:rPr>
                <w:t>20</w:t>
              </w:r>
            </w:hyperlink>
            <w:hyperlink w:anchor="tSUM25">
              <w:r>
                <w:rPr>
                  <w:rStyle w:val="InternetLink"/>
                  <w:rFonts w:ascii="Times New Roman;Times;serif" w:hAnsi="Times New Roman;Times;serif"/>
                  <w:color w:val="000000"/>
                  <w:sz w:val="20"/>
                </w:rPr>
                <w:t xml:space="preserve"> </w:t>
              </w:r>
            </w:hyperlink>
          </w:p>
        </w:tc>
      </w:tr>
      <w:tr>
        <w:trPr/>
        <w:tc>
          <w:tcPr>
            <w:tcW w:w="358" w:type="dxa"/>
            <w:tcBorders/>
            <w:vAlign w:val="center"/>
          </w:tcPr>
          <w:p>
            <w:pPr>
              <w:pStyle w:val="TableContents"/>
              <w:bidi w:val="0"/>
              <w:spacing w:before="0" w:after="283"/>
              <w:ind w:left="200" w:right="0" w:hanging="0"/>
              <w:jc w:val="left"/>
              <w:rPr/>
            </w:pPr>
            <w:hyperlink w:anchor="tSUM26">
              <w:r>
                <w:rPr>
                  <w:rStyle w:val="InternetLink"/>
                  <w:rFonts w:ascii="Times New Roman;Times;serif" w:hAnsi="Times New Roman;Times;serif"/>
                  <w:color w:val="000000"/>
                  <w:sz w:val="20"/>
                </w:rPr>
                <w:t>22.</w:t>
              </w:r>
            </w:hyperlink>
          </w:p>
        </w:tc>
        <w:tc>
          <w:tcPr>
            <w:tcW w:w="179" w:type="dxa"/>
            <w:tcBorders/>
            <w:vAlign w:val="center"/>
          </w:tcPr>
          <w:p>
            <w:pPr>
              <w:pStyle w:val="TableContents"/>
              <w:bidi w:val="0"/>
              <w:spacing w:before="0" w:after="0"/>
              <w:jc w:val="left"/>
              <w:rPr/>
            </w:pPr>
            <w:r>
              <w:rPr/>
              <w:t> </w:t>
            </w:r>
          </w:p>
        </w:tc>
        <w:tc>
          <w:tcPr>
            <w:tcW w:w="179" w:type="dxa"/>
            <w:tcBorders/>
            <w:vAlign w:val="center"/>
          </w:tcPr>
          <w:p>
            <w:pPr>
              <w:pStyle w:val="TableContents"/>
              <w:bidi w:val="0"/>
              <w:spacing w:before="0" w:after="0"/>
              <w:jc w:val="left"/>
              <w:rPr/>
            </w:pPr>
            <w:r>
              <w:rPr/>
              <w:t> </w:t>
            </w:r>
          </w:p>
        </w:tc>
        <w:tc>
          <w:tcPr>
            <w:tcW w:w="8857" w:type="dxa"/>
            <w:tcBorders/>
            <w:vAlign w:val="center"/>
          </w:tcPr>
          <w:p>
            <w:pPr>
              <w:pStyle w:val="TableContents"/>
              <w:bidi w:val="0"/>
              <w:spacing w:before="0" w:after="283"/>
              <w:ind w:left="0" w:right="0" w:hanging="0"/>
              <w:jc w:val="left"/>
              <w:rPr/>
            </w:pPr>
            <w:hyperlink w:anchor="tSUM26">
              <w:r>
                <w:rPr>
                  <w:rStyle w:val="InternetLink"/>
                  <w:rFonts w:ascii="Times New Roman;Times;serif" w:hAnsi="Times New Roman;Times;serif"/>
                  <w:color w:val="000000"/>
                  <w:sz w:val="20"/>
                </w:rPr>
                <w:t>LITIGATION RELATING TO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SUM26">
              <w:r>
                <w:rPr>
                  <w:rStyle w:val="InternetLink"/>
                  <w:rFonts w:ascii="Times New Roman;Times;serif" w:hAnsi="Times New Roman;Times;serif"/>
                  <w:color w:val="000000"/>
                  <w:sz w:val="20"/>
                </w:rPr>
                <w:t>21</w:t>
              </w:r>
            </w:hyperlink>
            <w:hyperlink w:anchor="tSUM26">
              <w:r>
                <w:rPr>
                  <w:rStyle w:val="InternetLink"/>
                  <w:rFonts w:ascii="Times New Roman;Times;serif" w:hAnsi="Times New Roman;Times;serif"/>
                  <w:color w:val="000000"/>
                  <w:sz w:val="20"/>
                </w:rPr>
                <w:t xml:space="preserve"> </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FLS">
              <w:r>
                <w:rPr>
                  <w:rStyle w:val="InternetLink"/>
                  <w:rFonts w:ascii="Times New Roman;Times;serif" w:hAnsi="Times New Roman;Times;serif"/>
                  <w:color w:val="000000"/>
                  <w:sz w:val="20"/>
                </w:rPr>
                <w:t>CAUTIONARY STATEMENT REGARDING FORWARD-LOOKING STATEMENTS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FLS">
              <w:r>
                <w:rPr>
                  <w:rStyle w:val="InternetLink"/>
                  <w:rFonts w:ascii="Times New Roman;Times;serif" w:hAnsi="Times New Roman;Times;serif"/>
                  <w:color w:val="000000"/>
                  <w:sz w:val="20"/>
                </w:rPr>
                <w:t>22</w:t>
              </w:r>
            </w:hyperlink>
          </w:p>
        </w:tc>
      </w:tr>
      <w:tr>
        <w:trPr/>
        <w:tc>
          <w:tcPr>
            <w:tcW w:w="9573" w:type="dxa"/>
            <w:gridSpan w:val="4"/>
            <w:tcBorders/>
            <w:vAlign w:val="center"/>
          </w:tcPr>
          <w:p>
            <w:pPr>
              <w:pStyle w:val="TableContents"/>
              <w:bidi w:val="0"/>
              <w:spacing w:before="0" w:after="283"/>
              <w:ind w:left="0" w:right="0" w:hanging="0"/>
              <w:jc w:val="left"/>
              <w:rPr/>
            </w:pPr>
            <w:hyperlink w:anchor="tIAT">
              <w:r>
                <w:rPr>
                  <w:rStyle w:val="InternetLink"/>
                  <w:rFonts w:ascii="Times New Roman;Times;serif" w:hAnsi="Times New Roman;Times;serif"/>
                  <w:color w:val="000000"/>
                  <w:sz w:val="20"/>
                </w:rPr>
                <w:t>INFORMATION ABOUT THE COMPANIES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IAT">
              <w:r>
                <w:rPr>
                  <w:rStyle w:val="InternetLink"/>
                  <w:rFonts w:ascii="Times New Roman;Times;serif" w:hAnsi="Times New Roman;Times;serif"/>
                  <w:color w:val="000000"/>
                  <w:sz w:val="20"/>
                </w:rPr>
                <w:t>24</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TSM">
              <w:r>
                <w:rPr>
                  <w:rStyle w:val="InternetLink"/>
                  <w:rFonts w:ascii="Times New Roman;Times;serif" w:hAnsi="Times New Roman;Times;serif"/>
                  <w:color w:val="000000"/>
                  <w:sz w:val="20"/>
                </w:rPr>
                <w:t>THE SPECIAL MEETING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TSM">
              <w:r>
                <w:rPr>
                  <w:rStyle w:val="InternetLink"/>
                  <w:rFonts w:ascii="Times New Roman;Times;serif" w:hAnsi="Times New Roman;Times;serif"/>
                  <w:color w:val="000000"/>
                  <w:sz w:val="20"/>
                </w:rPr>
                <w:t>25</w:t>
              </w:r>
            </w:hyperlink>
          </w:p>
        </w:tc>
      </w:tr>
      <w:tr>
        <w:trPr/>
        <w:tc>
          <w:tcPr>
            <w:tcW w:w="9573" w:type="dxa"/>
            <w:gridSpan w:val="4"/>
            <w:tcBorders/>
            <w:vAlign w:val="center"/>
          </w:tcPr>
          <w:p>
            <w:pPr>
              <w:pStyle w:val="TableContents"/>
              <w:bidi w:val="0"/>
              <w:spacing w:before="0" w:after="283"/>
              <w:ind w:left="0" w:right="0" w:hanging="0"/>
              <w:jc w:val="left"/>
              <w:rPr/>
            </w:pPr>
            <w:hyperlink w:anchor="tTM">
              <w:r>
                <w:rPr>
                  <w:rStyle w:val="InternetLink"/>
                  <w:rFonts w:ascii="Times New Roman;Times;serif" w:hAnsi="Times New Roman;Times;serif"/>
                  <w:color w:val="000000"/>
                  <w:sz w:val="20"/>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TM">
              <w:r>
                <w:rPr>
                  <w:rStyle w:val="InternetLink"/>
                  <w:rFonts w:ascii="Times New Roman;Times;serif" w:hAnsi="Times New Roman;Times;serif"/>
                  <w:color w:val="000000"/>
                  <w:sz w:val="20"/>
                </w:rPr>
                <w:t>31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TMA">
              <w:r>
                <w:rPr>
                  <w:rStyle w:val="InternetLink"/>
                  <w:rFonts w:ascii="Times New Roman;Times;serif" w:hAnsi="Times New Roman;Times;serif"/>
                  <w:color w:val="000000"/>
                  <w:sz w:val="20"/>
                </w:rPr>
                <w:t>THE MERGER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TMA">
              <w:r>
                <w:rPr>
                  <w:rStyle w:val="InternetLink"/>
                  <w:rFonts w:ascii="Times New Roman;Times;serif" w:hAnsi="Times New Roman;Times;serif"/>
                  <w:color w:val="000000"/>
                  <w:sz w:val="20"/>
                </w:rPr>
                <w:t>83</w:t>
              </w:r>
            </w:hyperlink>
          </w:p>
        </w:tc>
      </w:tr>
      <w:tr>
        <w:trPr/>
        <w:tc>
          <w:tcPr>
            <w:tcW w:w="9573" w:type="dxa"/>
            <w:gridSpan w:val="4"/>
            <w:tcBorders/>
            <w:vAlign w:val="center"/>
          </w:tcPr>
          <w:p>
            <w:pPr>
              <w:pStyle w:val="TableContents"/>
              <w:bidi w:val="0"/>
              <w:spacing w:before="0" w:after="283"/>
              <w:ind w:left="0" w:right="0" w:hanging="0"/>
              <w:jc w:val="left"/>
              <w:rPr/>
            </w:pPr>
            <w:hyperlink w:anchor="tUSF">
              <w:r>
                <w:rPr>
                  <w:rStyle w:val="InternetLink"/>
                  <w:rFonts w:ascii="Times New Roman;Times;serif" w:hAnsi="Times New Roman;Times;serif"/>
                  <w:color w:val="000000"/>
                  <w:sz w:val="20"/>
                </w:rPr>
                <w:t>U.S. FEDERAL INCOME TAX CONSEQUENCES OF 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USF">
              <w:r>
                <w:rPr>
                  <w:rStyle w:val="InternetLink"/>
                  <w:rFonts w:ascii="Times New Roman;Times;serif" w:hAnsi="Times New Roman;Times;serif"/>
                  <w:color w:val="000000"/>
                  <w:sz w:val="20"/>
                </w:rPr>
                <w:t>107</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IOS">
              <w:r>
                <w:rPr>
                  <w:rStyle w:val="InternetLink"/>
                  <w:rFonts w:ascii="Times New Roman;Times;serif" w:hAnsi="Times New Roman;Times;serif"/>
                  <w:color w:val="000000"/>
                  <w:sz w:val="20"/>
                </w:rPr>
                <w:t>INTERESTS OF SYNAPTICS’ DIRECTORS AND EXECUTIVE OFFICERS IN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IOS">
              <w:r>
                <w:rPr>
                  <w:rStyle w:val="InternetLink"/>
                  <w:rFonts w:ascii="Times New Roman;Times;serif" w:hAnsi="Times New Roman;Times;serif"/>
                  <w:color w:val="000000"/>
                  <w:sz w:val="20"/>
                </w:rPr>
                <w:t>109</w:t>
              </w:r>
            </w:hyperlink>
          </w:p>
        </w:tc>
      </w:tr>
      <w:tr>
        <w:trPr/>
        <w:tc>
          <w:tcPr>
            <w:tcW w:w="9573" w:type="dxa"/>
            <w:gridSpan w:val="4"/>
            <w:tcBorders/>
            <w:vAlign w:val="center"/>
          </w:tcPr>
          <w:p>
            <w:pPr>
              <w:pStyle w:val="TableContents"/>
              <w:bidi w:val="0"/>
              <w:spacing w:before="0" w:after="283"/>
              <w:ind w:left="0" w:right="0" w:hanging="0"/>
              <w:jc w:val="left"/>
              <w:rPr/>
            </w:pPr>
            <w:hyperlink w:anchor="tPROP1">
              <w:r>
                <w:rPr>
                  <w:rStyle w:val="InternetLink"/>
                  <w:rFonts w:ascii="Times New Roman;Times;serif" w:hAnsi="Times New Roman;Times;serif"/>
                  <w:color w:val="000000"/>
                  <w:sz w:val="20"/>
                </w:rPr>
                <w:t>PROPOSAL I—ADOPTION OF THE MERGER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PROP1">
              <w:r>
                <w:rPr>
                  <w:rStyle w:val="InternetLink"/>
                  <w:rFonts w:ascii="Times New Roman;Times;serif" w:hAnsi="Times New Roman;Times;serif"/>
                  <w:color w:val="000000"/>
                  <w:sz w:val="20"/>
                </w:rPr>
                <w:t>116</w:t>
              </w:r>
            </w:hyperlink>
          </w:p>
        </w:tc>
      </w:tr>
      <w:tr>
        <w:trPr/>
        <w:tc>
          <w:tcPr>
            <w:tcW w:w="9573" w:type="dxa"/>
            <w:gridSpan w:val="4"/>
            <w:tcBorders/>
            <w:shd w:fill="CCEEFF" w:val="clear"/>
            <w:vAlign w:val="center"/>
          </w:tcPr>
          <w:p>
            <w:pPr>
              <w:pStyle w:val="TableContents"/>
              <w:bidi w:val="0"/>
              <w:spacing w:before="0" w:after="283"/>
              <w:ind w:left="200" w:right="0" w:hanging="200"/>
              <w:jc w:val="left"/>
              <w:rPr/>
            </w:pPr>
            <w:hyperlink w:anchor="tPROP2">
              <w:r>
                <w:rPr>
                  <w:rStyle w:val="InternetLink"/>
                  <w:rFonts w:ascii="Times New Roman;Times;serif" w:hAnsi="Times New Roman;Times;serif"/>
                  <w:color w:val="000000"/>
                  <w:sz w:val="20"/>
                </w:rPr>
                <w:t>PROPOSAL II—NON-BINDING ADVISORY VOTE ON TRANSACTION-RELATED COMPENSATION FOR CERTAIN SYNAPTICS EXECUTIVE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PROP2">
              <w:r>
                <w:rPr>
                  <w:rStyle w:val="InternetLink"/>
                  <w:rFonts w:ascii="Times New Roman;Times;serif" w:hAnsi="Times New Roman;Times;serif"/>
                  <w:color w:val="000000"/>
                  <w:sz w:val="20"/>
                </w:rPr>
                <w:t>117</w:t>
              </w:r>
            </w:hyperlink>
          </w:p>
        </w:tc>
      </w:tr>
      <w:tr>
        <w:trPr/>
        <w:tc>
          <w:tcPr>
            <w:tcW w:w="9573" w:type="dxa"/>
            <w:gridSpan w:val="4"/>
            <w:tcBorders/>
            <w:vAlign w:val="center"/>
          </w:tcPr>
          <w:p>
            <w:pPr>
              <w:pStyle w:val="TableContents"/>
              <w:bidi w:val="0"/>
              <w:spacing w:before="0" w:after="283"/>
              <w:ind w:left="0" w:right="0" w:hanging="0"/>
              <w:jc w:val="left"/>
              <w:rPr/>
            </w:pPr>
            <w:hyperlink w:anchor="tPROP3">
              <w:r>
                <w:rPr>
                  <w:rStyle w:val="InternetLink"/>
                  <w:rFonts w:ascii="Times New Roman;Times;serif" w:hAnsi="Times New Roman;Times;serif"/>
                  <w:color w:val="000000"/>
                  <w:sz w:val="20"/>
                </w:rPr>
                <w:t>PROPOSAL III—ADJOURNMENT OF THE SPECIAL MEETING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PROP3">
              <w:r>
                <w:rPr>
                  <w:rStyle w:val="InternetLink"/>
                  <w:rFonts w:ascii="Times New Roman;Times;serif" w:hAnsi="Times New Roman;Times;serif"/>
                  <w:color w:val="000000"/>
                  <w:sz w:val="20"/>
                </w:rPr>
                <w:t>118</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SOS">
              <w:r>
                <w:rPr>
                  <w:rStyle w:val="InternetLink"/>
                  <w:rFonts w:ascii="Times New Roman;Times;serif" w:hAnsi="Times New Roman;Times;serif"/>
                  <w:color w:val="000000"/>
                  <w:sz w:val="20"/>
                </w:rPr>
                <w:t>SECURITY OWNERSHIP OF CERTAIN BENEFICIAL OWNERS AND MANAGEMENT OF SYNAPTICS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SOS">
              <w:r>
                <w:rPr>
                  <w:rStyle w:val="InternetLink"/>
                  <w:rFonts w:ascii="Times New Roman;Times;serif" w:hAnsi="Times New Roman;Times;serif"/>
                  <w:color w:val="000000"/>
                  <w:sz w:val="20"/>
                </w:rPr>
                <w:t>119</w:t>
              </w:r>
            </w:hyperlink>
          </w:p>
        </w:tc>
      </w:tr>
      <w:tr>
        <w:trPr/>
        <w:tc>
          <w:tcPr>
            <w:tcW w:w="9573" w:type="dxa"/>
            <w:gridSpan w:val="4"/>
            <w:tcBorders/>
            <w:vAlign w:val="center"/>
          </w:tcPr>
          <w:p>
            <w:pPr>
              <w:pStyle w:val="TableContents"/>
              <w:bidi w:val="0"/>
              <w:spacing w:before="0" w:after="283"/>
              <w:ind w:left="0" w:right="0" w:hanging="0"/>
              <w:jc w:val="left"/>
              <w:rPr/>
            </w:pPr>
            <w:hyperlink w:anchor="tFSS">
              <w:r>
                <w:rPr>
                  <w:rStyle w:val="InternetLink"/>
                  <w:rFonts w:ascii="Times New Roman;Times;serif" w:hAnsi="Times New Roman;Times;serif"/>
                  <w:color w:val="000000"/>
                  <w:sz w:val="20"/>
                </w:rPr>
                <w:t>FUTURE SYNAPTICS STOCKHOLDER PROPOSALS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FSS">
              <w:r>
                <w:rPr>
                  <w:rStyle w:val="InternetLink"/>
                  <w:rFonts w:ascii="Times New Roman;Times;serif" w:hAnsi="Times New Roman;Times;serif"/>
                  <w:color w:val="000000"/>
                  <w:sz w:val="20"/>
                </w:rPr>
                <w:t>121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HOU">
              <w:r>
                <w:rPr>
                  <w:rStyle w:val="InternetLink"/>
                  <w:rFonts w:ascii="Times New Roman;Times;serif" w:hAnsi="Times New Roman;Times;serif"/>
                  <w:color w:val="000000"/>
                  <w:sz w:val="20"/>
                </w:rPr>
                <w:t>HOUSEHOLDING OF PROXY MATERIALS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HOU">
              <w:r>
                <w:rPr>
                  <w:rStyle w:val="InternetLink"/>
                  <w:rFonts w:ascii="Times New Roman;Times;serif" w:hAnsi="Times New Roman;Times;serif"/>
                  <w:color w:val="000000"/>
                  <w:sz w:val="20"/>
                </w:rPr>
                <w:t>121</w:t>
              </w:r>
            </w:hyperlink>
          </w:p>
        </w:tc>
      </w:tr>
      <w:tr>
        <w:trPr/>
        <w:tc>
          <w:tcPr>
            <w:tcW w:w="9573" w:type="dxa"/>
            <w:gridSpan w:val="4"/>
            <w:tcBorders/>
            <w:vAlign w:val="center"/>
          </w:tcPr>
          <w:p>
            <w:pPr>
              <w:pStyle w:val="TableContents"/>
              <w:bidi w:val="0"/>
              <w:spacing w:before="0" w:after="283"/>
              <w:ind w:left="0" w:right="0" w:hanging="0"/>
              <w:jc w:val="left"/>
              <w:rPr/>
            </w:pPr>
            <w:hyperlink w:anchor="tWYC">
              <w:r>
                <w:rPr>
                  <w:rStyle w:val="InternetLink"/>
                  <w:rFonts w:ascii="Times New Roman;Times;serif" w:hAnsi="Times New Roman;Times;serif"/>
                  <w:color w:val="000000"/>
                  <w:sz w:val="20"/>
                </w:rPr>
                <w:t>WHERE YOU CAN FIND MORE INFORMATION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WYC">
              <w:r>
                <w:rPr>
                  <w:rStyle w:val="InternetLink"/>
                  <w:rFonts w:ascii="Times New Roman;Times;serif" w:hAnsi="Times New Roman;Times;serif"/>
                  <w:color w:val="000000"/>
                  <w:sz w:val="20"/>
                </w:rPr>
                <w:t>122</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ANNA">
              <w:r>
                <w:rPr>
                  <w:rStyle w:val="InternetLink"/>
                  <w:rFonts w:ascii="Times New Roman;Times;serif" w:hAnsi="Times New Roman;Times;serif"/>
                  <w:color w:val="000000"/>
                  <w:sz w:val="20"/>
                </w:rPr>
                <w:t>ANNEX A AMENDED AND RESTATED AGREEMENT AND PLAN OF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ANNA">
              <w:r>
                <w:rPr>
                  <w:rStyle w:val="InternetLink"/>
                  <w:rFonts w:ascii="Times New Roman;Times;serif" w:hAnsi="Times New Roman;Times;serif"/>
                  <w:color w:val="000000"/>
                  <w:sz w:val="20"/>
                </w:rPr>
                <w:t>A-1</w:t>
              </w:r>
            </w:hyperlink>
          </w:p>
        </w:tc>
      </w:tr>
      <w:tr>
        <w:trPr/>
        <w:tc>
          <w:tcPr>
            <w:tcW w:w="9573" w:type="dxa"/>
            <w:gridSpan w:val="4"/>
            <w:tcBorders/>
            <w:vAlign w:val="center"/>
          </w:tcPr>
          <w:p>
            <w:pPr>
              <w:pStyle w:val="TableContents"/>
              <w:bidi w:val="0"/>
              <w:spacing w:before="0" w:after="283"/>
              <w:ind w:left="0" w:right="0" w:hanging="0"/>
              <w:jc w:val="left"/>
              <w:rPr/>
            </w:pPr>
            <w:hyperlink w:anchor="tANNEXB">
              <w:r>
                <w:rPr>
                  <w:rStyle w:val="InternetLink"/>
                  <w:rFonts w:ascii="Times New Roman;Times;serif" w:hAnsi="Times New Roman;Times;serif"/>
                  <w:color w:val="000000"/>
                  <w:sz w:val="20"/>
                </w:rPr>
                <w:t>ANNEX B OPINION OF QATALYST PARTNERS LP</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52" w:type="dxa"/>
            <w:tcBorders/>
            <w:vAlign w:val="center"/>
          </w:tcPr>
          <w:p>
            <w:pPr>
              <w:pStyle w:val="TableContents"/>
              <w:bidi w:val="0"/>
              <w:spacing w:before="0" w:after="283"/>
              <w:ind w:left="14" w:right="0" w:hanging="0"/>
              <w:jc w:val="left"/>
              <w:rPr/>
            </w:pPr>
            <w:hyperlink w:anchor="tANNEXB">
              <w:r>
                <w:rPr>
                  <w:rStyle w:val="InternetLink"/>
                  <w:rFonts w:ascii="Times New Roman;Times;serif" w:hAnsi="Times New Roman;Times;serif"/>
                  <w:color w:val="000000"/>
                  <w:sz w:val="20"/>
                </w:rPr>
                <w:t>B-1</w:t>
              </w:r>
            </w:hyperlink>
          </w:p>
        </w:tc>
      </w:tr>
      <w:tr>
        <w:trPr/>
        <w:tc>
          <w:tcPr>
            <w:tcW w:w="9573" w:type="dxa"/>
            <w:gridSpan w:val="4"/>
            <w:tcBorders/>
            <w:shd w:fill="CCEEFF" w:val="clear"/>
            <w:vAlign w:val="center"/>
          </w:tcPr>
          <w:p>
            <w:pPr>
              <w:pStyle w:val="TableContents"/>
              <w:bidi w:val="0"/>
              <w:spacing w:before="0" w:after="283"/>
              <w:ind w:left="0" w:right="0" w:hanging="0"/>
              <w:jc w:val="left"/>
              <w:rPr/>
            </w:pPr>
            <w:hyperlink w:anchor="tANNEXC">
              <w:r>
                <w:rPr>
                  <w:rStyle w:val="InternetLink"/>
                  <w:rFonts w:ascii="Times New Roman;Times;serif" w:hAnsi="Times New Roman;Times;serif"/>
                  <w:color w:val="000000"/>
                  <w:sz w:val="20"/>
                </w:rPr>
                <w:t>ANNEX C SECTION 262 OF THE GENERAL CORPORATION LAW OF THE STATE OF DELAWARE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283"/>
              <w:ind w:left="14" w:right="0" w:hanging="0"/>
              <w:jc w:val="left"/>
              <w:rPr/>
            </w:pPr>
            <w:hyperlink w:anchor="tANNEXC">
              <w:r>
                <w:rPr>
                  <w:rStyle w:val="InternetLink"/>
                  <w:rFonts w:ascii="Times New Roman;Times;serif" w:hAnsi="Times New Roman;Times;serif"/>
                  <w:color w:val="000000"/>
                  <w:sz w:val="20"/>
                </w:rPr>
                <w:t>C-1</w:t>
              </w:r>
            </w:hyperlink>
          </w:p>
        </w:tc>
      </w:tr>
      <w:tr>
        <w:trPr/>
        <w:tc>
          <w:tcPr>
            <w:tcW w:w="9573" w:type="dxa"/>
            <w:gridSpan w:val="4"/>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52" w:type="dxa"/>
            <w:tcBorders/>
            <w:shd w:fill="CCEEFF" w:val="clear"/>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 w:name="ny20081083x2_defm14a_106-qa_pg1"/>
        <w:bookmarkEnd w:id="1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 w:name="tQA"/>
      <w:bookmarkEnd w:id="13"/>
      <w:r>
        <w:rPr>
          <w:rFonts w:ascii="Times New Roman;Times;serif" w:hAnsi="Times New Roman;Times;serif"/>
          <w:b/>
          <w:color w:val="000000"/>
          <w:sz w:val="20"/>
        </w:rPr>
        <w:t xml:space="preserve">QUESTIONS AND ANSWERS </w:t>
      </w:r>
    </w:p>
    <w:p>
      <w:pPr>
        <w:pStyle w:val="TextBody"/>
        <w:bidi w:val="0"/>
        <w:spacing w:before="120" w:after="283"/>
        <w:ind w:left="0" w:right="0" w:firstLine="400"/>
        <w:jc w:val="both"/>
        <w:rPr/>
      </w:pPr>
      <w:r>
        <w:rPr>
          <w:rFonts w:ascii="Times New Roman;Times;serif" w:hAnsi="Times New Roman;Times;serif"/>
          <w:i/>
          <w:color w:val="000000"/>
          <w:sz w:val="20"/>
        </w:rPr>
        <w:t xml:space="preserve">The following are some questions that you, as a stockholder of Synaptics Incorporated (“Synaptics” or the “Company”), may have regarding the Merger and other matters being considered at the special meeting of Synaptics stockholders (the “Special Meeting”) and brief answers to those questions. To better understand these matters, and for a description of the legal terms governing the Merger, Synaptics urges you to carefully read the remainder of this proxy statement because the information in this section does not provide all the information that might be important to you with respect to the Merger and the other matters being considered at the Special Meeting. Additional important information is also contained in the annexes to this proxy statement and the documents incorporated by reference in this proxy statement. See the section titled “Where You Can Find More Information” beginning on page </w:t>
      </w:r>
      <w:hyperlink w:anchor="tWYC">
        <w:r>
          <w:rPr>
            <w:rStyle w:val="InternetLink"/>
          </w:rPr>
          <w:t>122</w:t>
        </w:r>
      </w:hyperlink>
      <w:r>
        <w:rPr>
          <w:rFonts w:ascii="Times New Roman;Times;serif" w:hAnsi="Times New Roman;Times;serif"/>
          <w:i/>
          <w:color w:val="000000"/>
          <w:sz w:val="20"/>
        </w:rPr>
        <w:t xml:space="preserve"> of this proxy statement.</w:t>
      </w:r>
      <w:r>
        <w:rPr>
          <w:rFonts w:ascii="Times New Roman;Times;serif" w:hAnsi="Times New Roman;Times;serif"/>
          <w:i/>
          <w:caps w:val="false"/>
          <w:smallCaps w:val="false"/>
          <w:color w:val="000000"/>
          <w:sz w:val="20"/>
        </w:rPr>
        <w:t xml:space="preserve"> </w:t>
      </w:r>
    </w:p>
    <w:tbl>
      <w:tblPr>
        <w:tblW w:w="3835" w:type="dxa"/>
        <w:jc w:val="left"/>
        <w:tblInd w:w="0" w:type="dxa"/>
        <w:tblLayout w:type="fixed"/>
        <w:tblCellMar>
          <w:top w:w="0" w:type="dxa"/>
          <w:left w:w="0" w:type="dxa"/>
          <w:bottom w:w="0" w:type="dxa"/>
          <w:right w:w="0" w:type="dxa"/>
        </w:tblCellMar>
      </w:tblPr>
      <w:tblGrid>
        <w:gridCol w:w="230"/>
        <w:gridCol w:w="36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6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Why am I receiving this proxy statement?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has entered into a Merger Agreement with onsemi and Merger Sub, pursuant to which Merger Sub will merge with and into Synaptics, with Synaptics surviving as a wholly-owned subsidiary of onsemi.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You are receiving this proxy statement because you were a stockholder of Synaptics as of the record date for the Special Meeting.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At the Special Meeting, Synaptics stockholders are being asked to vote on the Merger Proposal, the Advisory Compensation Proposal and the Adjournment Proposal, each as described in more detail below. Each stockholder’s vote is very important, regardless of the number of shares held. We encourage Synaptics stockholders to read this proxy statement carefully in its entirety, including the annexes and the documents incorporated by reference herein, before submitting a proxy or voting instruction. </w:t>
      </w:r>
    </w:p>
    <w:tbl>
      <w:tblPr>
        <w:tblW w:w="5065" w:type="dxa"/>
        <w:jc w:val="left"/>
        <w:tblInd w:w="0" w:type="dxa"/>
        <w:tblLayout w:type="fixed"/>
        <w:tblCellMar>
          <w:top w:w="0" w:type="dxa"/>
          <w:left w:w="0" w:type="dxa"/>
          <w:bottom w:w="0" w:type="dxa"/>
          <w:right w:w="0" w:type="dxa"/>
        </w:tblCellMar>
      </w:tblPr>
      <w:tblGrid>
        <w:gridCol w:w="230"/>
        <w:gridCol w:w="48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Synaptics stockholders being asked to vote on? </w:t>
            </w:r>
          </w:p>
        </w:tc>
      </w:tr>
    </w:tbl>
    <w:tbl>
      <w:tblPr>
        <w:tblW w:w="9310" w:type="dxa"/>
        <w:jc w:val="left"/>
        <w:tblInd w:w="0" w:type="dxa"/>
        <w:tblLayout w:type="fixed"/>
        <w:tblCellMar>
          <w:top w:w="0" w:type="dxa"/>
          <w:left w:w="0" w:type="dxa"/>
          <w:bottom w:w="0" w:type="dxa"/>
          <w:right w:w="0" w:type="dxa"/>
        </w:tblCellMar>
      </w:tblPr>
      <w:tblGrid>
        <w:gridCol w:w="215"/>
        <w:gridCol w:w="9095"/>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095"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are being asked to consider and vote on the following proposals at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Merger Proposal</w:t>
      </w:r>
      <w:r>
        <w:rPr>
          <w:rFonts w:ascii="Times New Roman;Times;serif" w:hAnsi="Times New Roman;Times;serif"/>
          <w:color w:val="000000"/>
          <w:sz w:val="20"/>
        </w:rPr>
        <w:t xml:space="preserve">: A proposal to adopt the Merger Agreement, pursuant to which onsemi will acquire Synaptics through the Merger. A copy of the Merger Agreement is attached as Annex A to this proxy statement.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Advisory Compensation Proposal</w:t>
      </w:r>
      <w:r>
        <w:rPr>
          <w:rFonts w:ascii="Times New Roman;Times;serif" w:hAnsi="Times New Roman;Times;serif"/>
          <w:color w:val="000000"/>
          <w:sz w:val="20"/>
        </w:rPr>
        <w:t xml:space="preserve">: A non-binding, advisory proposal to approve certain compensation payments that may be paid or become payable to Synaptics’ named executive officers in connection with the Merger, including severance payments, the accelerated vesting of equity awards and annual bonus payments. This type of compensation is sometimes referred to as “golden parachute” compensation. Under rules adopted by the SEC, Synaptics is required to seek a non-binding, advisory vote on such compensation as part of the Special Meeting. The vote on this proposal is advisory only and will not be binding on Synaptics, the Synaptics board or onsemi, and approval of this proposal is not a condition to the completion of the Merger.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u w:val="single"/>
        </w:rPr>
        <w:t>The Adjournment Proposal</w:t>
      </w:r>
      <w:r>
        <w:rPr>
          <w:rFonts w:ascii="Times New Roman;Times;serif" w:hAnsi="Times New Roman;Times;serif"/>
          <w:color w:val="000000"/>
          <w:sz w:val="20"/>
        </w:rPr>
        <w:t xml:space="preserve">: A proposal to approve the adjournment of the Special Meeting to a later date or dates, if necessary or appropriate, to solicit additional proxies if there are insufficient votes at the time of the Special Meeting to approve the Merger Proposal or if a quorum is not present at the Special Meeting or to ensure that any supplement or amendment to this proxy statement is timely provided to Synaptics stockholders. If the Special Meeting is adjourned, Synaptics stockholders who have already submitted their proxies will be able to revoke them and change their votes at any time prior to the final vote on the Merger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Merger cannot be completed unless the Merger Proposal is approved by the affirmative vote of the holders of a majority of the issued and outstanding shares of Synaptics common stock entitled to vote on the proposal. Approval of the Advisory Compensation Proposal and the Adjournment Proposal are not conditions to the completion of the Merger. </w:t>
      </w:r>
    </w:p>
    <w:tbl>
      <w:tblPr>
        <w:tblW w:w="4045" w:type="dxa"/>
        <w:jc w:val="left"/>
        <w:tblInd w:w="0" w:type="dxa"/>
        <w:tblLayout w:type="fixed"/>
        <w:tblCellMar>
          <w:top w:w="0" w:type="dxa"/>
          <w:left w:w="0" w:type="dxa"/>
          <w:bottom w:w="0" w:type="dxa"/>
          <w:right w:w="0" w:type="dxa"/>
        </w:tblCellMar>
      </w:tblPr>
      <w:tblGrid>
        <w:gridCol w:w="230"/>
        <w:gridCol w:w="381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8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does the Synaptics board recommend?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has unanimously: (i) determined that the Merger Agreement, the Merger and the other transactions contemplated by the Merger Agreement are advisable, fair to and in the best interests of Synaptics and its stockholders; (ii) approved and declared advisable the Merger Agreement, the Merger and the other transactions contemplated by the Merger Agreement; and (iii) resolved to recommend that Synaptics stockholders vote to adopt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 w:name="ny20081083x2_defm14a_106-qa_pg2"/>
        <w:bookmarkEnd w:id="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color w:val="000000"/>
          <w:sz w:val="20"/>
        </w:rPr>
        <w:t>FOR</w:t>
      </w:r>
      <w:r>
        <w:rPr>
          <w:rFonts w:ascii="Times New Roman;Times;serif" w:hAnsi="Times New Roman;Times;serif"/>
          <w:color w:val="000000"/>
          <w:sz w:val="20"/>
        </w:rPr>
        <w:t>” the Merger Proposal, “</w:t>
      </w:r>
      <w:r>
        <w:rPr>
          <w:rFonts w:ascii="Times New Roman;Times;serif" w:hAnsi="Times New Roman;Times;serif"/>
          <w:b/>
          <w:color w:val="000000"/>
          <w:sz w:val="20"/>
        </w:rPr>
        <w:t>FOR</w:t>
      </w:r>
      <w:r>
        <w:rPr>
          <w:rFonts w:ascii="Times New Roman;Times;serif" w:hAnsi="Times New Roman;Times;serif"/>
          <w:color w:val="000000"/>
          <w:sz w:val="20"/>
        </w:rPr>
        <w:t>” the Advisory Compensation Proposal, and “</w:t>
      </w:r>
      <w:r>
        <w:rPr>
          <w:rFonts w:ascii="Times New Roman;Times;serif" w:hAnsi="Times New Roman;Times;serif"/>
          <w:b/>
          <w:color w:val="000000"/>
          <w:sz w:val="20"/>
        </w:rPr>
        <w:t>FOR</w:t>
      </w:r>
      <w:r>
        <w:rPr>
          <w:rFonts w:ascii="Times New Roman;Times;serif" w:hAnsi="Times New Roman;Times;serif"/>
          <w:color w:val="000000"/>
          <w:sz w:val="20"/>
        </w:rPr>
        <w:t xml:space="preserve">” the Adjournment Proposal. </w:t>
      </w:r>
    </w:p>
    <w:tbl>
      <w:tblPr>
        <w:tblW w:w="2590" w:type="dxa"/>
        <w:jc w:val="left"/>
        <w:tblInd w:w="0" w:type="dxa"/>
        <w:tblLayout w:type="fixed"/>
        <w:tblCellMar>
          <w:top w:w="0" w:type="dxa"/>
          <w:left w:w="0" w:type="dxa"/>
          <w:bottom w:w="0" w:type="dxa"/>
          <w:right w:w="0" w:type="dxa"/>
        </w:tblCellMar>
      </w:tblPr>
      <w:tblGrid>
        <w:gridCol w:w="230"/>
        <w:gridCol w:w="23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important is my vote? </w:t>
            </w:r>
          </w:p>
        </w:tc>
      </w:tr>
    </w:tbl>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Your vote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each proposal presented at the Special Meeting is very important regardless of the number of shares of Synaptics common stock that you own, and you are encouraged to submit a proxy or proxies as soon as possible. </w:t>
            </w:r>
          </w:p>
        </w:tc>
      </w:tr>
    </w:tbl>
    <w:tbl>
      <w:tblPr>
        <w:tblW w:w="6325" w:type="dxa"/>
        <w:jc w:val="left"/>
        <w:tblInd w:w="0" w:type="dxa"/>
        <w:tblLayout w:type="fixed"/>
        <w:tblCellMar>
          <w:top w:w="0" w:type="dxa"/>
          <w:left w:w="0" w:type="dxa"/>
          <w:bottom w:w="0" w:type="dxa"/>
          <w:right w:w="0" w:type="dxa"/>
        </w:tblCellMar>
      </w:tblPr>
      <w:tblGrid>
        <w:gridCol w:w="230"/>
        <w:gridCol w:w="60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0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vote is required to approve each proposal at the Special Meeting?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Approval of the Merger Proposal, assuming a quorum is present, requires the affirmative vote of the holders of a majority of the issued and outstanding shares of Synaptics common stock entitled to vote on the proposal. The required vote on the Merger Proposal is based on the number of outstanding shares—not the number of shares actually voted. The failure of any Synaptics stockholder to submit a vote (i.e., by not submitting a proxy and not voting at the Special Meeting), any abstention from voting by a Synaptics stockholder and any broker non-votes will have the same effect as a vote “</w:t>
            </w:r>
            <w:r>
              <w:rPr>
                <w:rFonts w:ascii="Times New Roman;Times;serif" w:hAnsi="Times New Roman;Times;serif"/>
                <w:b/>
                <w:color w:val="000000"/>
                <w:sz w:val="20"/>
              </w:rPr>
              <w:t xml:space="preserve">AGAINST” </w:t>
            </w:r>
            <w:r>
              <w:rPr>
                <w:rFonts w:ascii="Times New Roman;Times;serif" w:hAnsi="Times New Roman;Times;serif"/>
                <w:b w:val="false"/>
                <w:color w:val="000000"/>
                <w:sz w:val="20"/>
              </w:rPr>
              <w:t xml:space="preserve">the Merger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each of the Advisory Compensation Proposal and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Synaptics stockholders present. Assuming a quorum is present, abstentions from voting by a Synaptics stockholder attending the Special Meeting or a failure to attend the Special Meeting virtually or by proxy will have no effect on the outcome of the vote on the Advisory Compensation Proposal or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 Banks, brokers, nominees, trustees or other record holders who hold your shares of Synaptics common stock in “street name” typically have the authority to vote in their discretion on “routine” proposals when they have not received instructions on how to vote from you. However, such banks, brokers, nominees, trustees or other record holders typically are not allowed to exercise their voting discretion on matters that are “non-routine” without specific instructions on how to vote from you.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400" w:right="0" w:hanging="0"/>
        <w:jc w:val="both"/>
        <w:rPr/>
      </w:pPr>
      <w:r>
        <w:rPr>
          <w:rFonts w:ascii="Times New Roman;Times;serif" w:hAnsi="Times New Roman;Times;serif"/>
          <w:color w:val="000000"/>
          <w:sz w:val="20"/>
        </w:rPr>
        <w:t xml:space="preserve">See the section titled “The Synaptics Special Meeting—Vote Required” beginning on page </w:t>
      </w:r>
      <w:hyperlink w:anchor="tVR">
        <w:r>
          <w:rPr>
            <w:rStyle w:val="InternetLink"/>
            <w:rFonts w:ascii="Times New Roman;Times;serif" w:hAnsi="Times New Roman;Times;serif"/>
            <w:color w:val="000080"/>
            <w:sz w:val="20"/>
          </w:rPr>
          <w:t>27</w:t>
        </w:r>
      </w:hyperlink>
      <w:r>
        <w:rPr>
          <w:rFonts w:ascii="Times New Roman;Times;serif" w:hAnsi="Times New Roman;Times;serif"/>
          <w:color w:val="000000"/>
          <w:sz w:val="20"/>
        </w:rPr>
        <w:t xml:space="preserve"> of this proxy statement. </w:t>
      </w:r>
    </w:p>
    <w:tbl>
      <w:tblPr>
        <w:tblW w:w="5050" w:type="dxa"/>
        <w:jc w:val="left"/>
        <w:tblInd w:w="0" w:type="dxa"/>
        <w:tblLayout w:type="fixed"/>
        <w:tblCellMar>
          <w:top w:w="0" w:type="dxa"/>
          <w:left w:w="0" w:type="dxa"/>
          <w:bottom w:w="0" w:type="dxa"/>
          <w:right w:w="0" w:type="dxa"/>
        </w:tblCellMar>
      </w:tblPr>
      <w:tblGrid>
        <w:gridCol w:w="230"/>
        <w:gridCol w:w="482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Synaptics stockholders receive in the Merger? </w:t>
            </w:r>
          </w:p>
        </w:tc>
      </w:tr>
    </w:tbl>
    <w:tbl>
      <w:tblPr>
        <w:tblW w:w="10205" w:type="dxa"/>
        <w:jc w:val="left"/>
        <w:tblInd w:w="0" w:type="dxa"/>
        <w:tblLayout w:type="fixed"/>
        <w:tblCellMar>
          <w:top w:w="0" w:type="dxa"/>
          <w:left w:w="0" w:type="dxa"/>
          <w:bottom w:w="0" w:type="dxa"/>
          <w:right w:w="0" w:type="dxa"/>
        </w:tblCellMar>
      </w:tblPr>
      <w:tblGrid>
        <w:gridCol w:w="169"/>
        <w:gridCol w:w="10036"/>
      </w:tblGrid>
      <w:tr>
        <w:trPr/>
        <w:tc>
          <w:tcPr>
            <w:tcW w:w="16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6"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At the effective time, each share of Synaptics common stock issued and outstanding immediately prior to the effective time, other than shares held in Synaptics’ treasury, shares owned by any Synaptics subsidiary, or shares owned by onsemi or any of its subsidiaries, as well as any dissenting shares, in each case for which no consideration will be paid, will be converted into the right to receive $123.00 per share in cash, without interest (the “Merger Consideration”).</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 w:name="ny20081083x2_defm14a_106-qa_pg3"/>
        <w:bookmarkEnd w:id="15"/>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214"/>
        <w:gridCol w:w="9991"/>
      </w:tblGrid>
      <w:tr>
        <w:trPr/>
        <w:tc>
          <w:tcPr>
            <w:tcW w:w="21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market price of Synaptics common stock changes before the Merger is completed, and what is the value of the Merger Consideration? </w:t>
            </w:r>
          </w:p>
        </w:tc>
      </w:tr>
    </w:tbl>
    <w:tbl>
      <w:tblPr>
        <w:tblW w:w="10205" w:type="dxa"/>
        <w:jc w:val="left"/>
        <w:tblInd w:w="0" w:type="dxa"/>
        <w:tblLayout w:type="fixed"/>
        <w:tblCellMar>
          <w:top w:w="0" w:type="dxa"/>
          <w:left w:w="0" w:type="dxa"/>
          <w:bottom w:w="0" w:type="dxa"/>
          <w:right w:w="0" w:type="dxa"/>
        </w:tblCellMar>
      </w:tblPr>
      <w:tblGrid>
        <w:gridCol w:w="174"/>
        <w:gridCol w:w="10031"/>
      </w:tblGrid>
      <w:tr>
        <w:trPr/>
        <w:tc>
          <w:tcPr>
            <w:tcW w:w="17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1"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Changes in the market price of Synaptics common stock at or prior to the effective time will not change the Merger Consideration that Synaptics stockholders will be entitled to receive because the Merger Consideration is fixed at $123 in cash per share of Synaptics common stock. See “What will Synaptics stockholders receive in the Merger?” above.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I receive the Merger Consideration in respect of my shares of Synaptics common stock if the Merger is consummated?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3" w:type="dxa"/>
            <w:tcBorders/>
            <w:vAlign w:val="center"/>
          </w:tcPr>
          <w:p>
            <w:pPr>
              <w:pStyle w:val="TableContents"/>
              <w:bidi w:val="0"/>
              <w:spacing w:before="0" w:after="0"/>
              <w:jc w:val="left"/>
              <w:rPr/>
            </w:pPr>
            <w:r>
              <w:rPr>
                <w:rFonts w:ascii="Times New Roman;Times;serif" w:hAnsi="Times New Roman;Times;serif"/>
                <w:b w:val="false"/>
                <w:color w:val="000000"/>
                <w:sz w:val="20"/>
              </w:rPr>
              <w:t xml:space="preserve">If you are a stockholder of record of shares of Synaptics common stock, you will receive a letter of transmittal and instructions for use in effecting the surrender of your shares of Synaptics common stock in exchange for the Merger Consideration. If you are not a stockholder of record, but instead hold your shares of Synaptics common stock in “street name” through a bank, broker, nominee, trustee or other record holder, you will receive instructions from your bank, broker, nominee, trustee or other record holder as to how to effect the surrender of your “street name” shares of Synaptics common stock in exchange for the Merger Consideration. You should not return your Synaptics common stock certificates with the enclosed proxy card. For more information, see “The Merger—Procedures for Surrendering Synaptics Stock Certificates” beginning on page </w:t>
            </w:r>
            <w:hyperlink w:anchor="tPFS1">
              <w:r>
                <w:rPr>
                  <w:rStyle w:val="InternetLink"/>
                  <w:rFonts w:ascii="Times New Roman;Times;serif" w:hAnsi="Times New Roman;Times;serif"/>
                  <w:b w:val="false"/>
                  <w:color w:val="000080"/>
                  <w:sz w:val="20"/>
                </w:rPr>
                <w:t>81</w:t>
              </w:r>
            </w:hyperlink>
            <w:r>
              <w:rPr>
                <w:rFonts w:ascii="Times New Roman;Times;serif" w:hAnsi="Times New Roman;Times;serif"/>
                <w:b w:val="false"/>
                <w:color w:val="000000"/>
                <w:sz w:val="20"/>
              </w:rPr>
              <w:t xml:space="preserve">. </w:t>
            </w:r>
          </w:p>
        </w:tc>
      </w:tr>
    </w:tbl>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Synaptics equity awards? </w:t>
            </w:r>
          </w:p>
        </w:tc>
      </w:tr>
    </w:tbl>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Treatment of equity awards depends on the type of award and certain other factors as described herein and in the Merger Agreement: </w:t>
            </w:r>
          </w:p>
        </w:tc>
      </w:tr>
    </w:tbl>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Restricted Stock Units (RSUs):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RSUs held by individuals who will be employees of onsemi or its subsidiaries following the effective time will be assumed by onsemi and converted into onsemi RSU awards covering a number of shares of onsemi common stock determined as the product (rounded to the nearest whole number) of (x) the number of shares of Synaptics common stock underlying such Synaptics RSU and (y) the Conversion Ratio, and subject to the same terms and conditions (including vesting schedules) as applied to such Synaptics RSU immediately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RSUs that are vested but unsettled as of the effective time, Synaptics RSUs that vest in connection with the closing, and Synaptics RSUs held by Synaptics’ non-employee directors will be cancelled and converted into the right to receive an amount of Merger Consideration equal to the product of the per share Merger Consideration multiplied by the underlying shares of Synaptics common stock subject to such Synaptics RSU, after giving effect to any accumulated dividend equivalent rights (subject to applicable tax withholding).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Performance Stock Units (PSUs):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PSUs held by individuals who will be employees of onsemi or its subsidiaries following the effective time will be assumed by onsemi and converted into onsemi PSU awards covering a number of shares of onsemi common stock, determined as the product of (rounded to the nearest whole number) (x) the number of shares of Synaptics common stock underlying such Synaptics PSU and (y) the Conversion Ratio, and subject to the same terms and conditions (including time-based vesting) as applied to such Synaptics PSU immediately prior to the effective time, provided that any performance conditions for which a performance period has not yet closed will be deemed satisfied at target level, and the resulting onsemi award will remain subject only to the applicable time-based vesting conditions.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PSUs that are vested but unsettled as of the effective time, Synaptics PSUs that vest in connection with the closing, and Synaptics PSUs held by non-employee directors will be cancelled, and the former holder will be entitled to receive an amount of Merger Consideration equal to the product of the per share Merger Consideration multiplied by the underlying shares of Synaptics common stock subject to such Synaptics PSU (with performance conditions for any open performance period deemed satisfied at the target level), after giving effect to any accumulated dividend equivalent rights (subject to applicable tax withholding).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Market Stock Units (MSUs):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Unvested Synaptics MSUs held by individuals who will be employees of onsemi or its subsidiaries following the effective time will be assumed by onsemi and converted into onsemi RSU awards covering a number of shares of onsemi common stock, determined as the product of (rounded to the nearest whole number) (x) the number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 w:name="ny20081083x2_defm14a_106-qa_pg4"/>
        <w:bookmarkEnd w:id="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shares of Synaptics common stock underlying such Synaptics MSU, with such number determined based on actual performance of the performance conditions applicable to such Synaptics MSU as of immediately before the effective time, as determined under the relevant Synaptics equity award terms, and (y) the Conversion Ratio, and subject to the same terms and conditions (including time-based vesting) as applied to such Synaptics MSU prior to the effective time.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MSUs that are vested but unsettled as of the effective time, Synaptics MSUs that by their terms vest in connection with the closing, and Synaptics MSUs held by non-employee directors will be cancelled, and the former holder will be entitled to receive an amount of Merger Consideration equal to the product of the per share Merger Consideration multiplied by the underlying shares of Synaptics common stock subject to such Synaptics MSU, determined based on actual performance of the performance conditions applicable to such Synaptics MSU as of immediately before the effective time, as determined under the relevant Synaptics equity award terms, after giving effect to any accumulated dividend equivalent rights (subject to applicable tax withholding). </w:t>
      </w:r>
    </w:p>
    <w:tbl>
      <w:tblPr>
        <w:tblW w:w="6565" w:type="dxa"/>
        <w:jc w:val="left"/>
        <w:tblInd w:w="0" w:type="dxa"/>
        <w:tblLayout w:type="fixed"/>
        <w:tblCellMar>
          <w:top w:w="0" w:type="dxa"/>
          <w:left w:w="0" w:type="dxa"/>
          <w:bottom w:w="0" w:type="dxa"/>
          <w:right w:w="0" w:type="dxa"/>
        </w:tblCellMar>
      </w:tblPr>
      <w:tblGrid>
        <w:gridCol w:w="230"/>
        <w:gridCol w:w="63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3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Synaptics Employee Stock Purchase Plan (ESPP)?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current ESPP offering period in effect as of the date of the Merger Agreement will be the final offering period under the ESPP and the ESPP will be terminated as of the effective time. Participants in the ESPP will be permitted to exercise all outstanding purchase rights as of the end of the final offering period and shares of Synaptics common stock purchased under the ESPP will be converted into the right to receive the Merger Consideration, and unused payroll contributions will be refunded to the applicable participants. No new participants will be permitted to join the current offering period under the ESPP. </w:t>
            </w:r>
          </w:p>
        </w:tc>
      </w:tr>
    </w:tbl>
    <w:tbl>
      <w:tblPr>
        <w:tblW w:w="8035" w:type="dxa"/>
        <w:jc w:val="left"/>
        <w:tblInd w:w="0" w:type="dxa"/>
        <w:tblLayout w:type="fixed"/>
        <w:tblCellMar>
          <w:top w:w="0" w:type="dxa"/>
          <w:left w:w="0" w:type="dxa"/>
          <w:bottom w:w="0" w:type="dxa"/>
          <w:right w:w="0" w:type="dxa"/>
        </w:tblCellMar>
      </w:tblPr>
      <w:tblGrid>
        <w:gridCol w:w="230"/>
        <w:gridCol w:w="780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78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U.S. federal income tax consequences of the Merger to Synaptics stockholders? </w:t>
            </w:r>
          </w:p>
        </w:tc>
      </w:tr>
    </w:tbl>
    <w:tbl>
      <w:tblPr>
        <w:tblW w:w="10205" w:type="dxa"/>
        <w:jc w:val="left"/>
        <w:tblInd w:w="0" w:type="dxa"/>
        <w:tblLayout w:type="fixed"/>
        <w:tblCellMar>
          <w:top w:w="0" w:type="dxa"/>
          <w:left w:w="0" w:type="dxa"/>
          <w:bottom w:w="0" w:type="dxa"/>
          <w:right w:w="0" w:type="dxa"/>
        </w:tblCellMar>
      </w:tblPr>
      <w:tblGrid>
        <w:gridCol w:w="162"/>
        <w:gridCol w:w="10043"/>
      </w:tblGrid>
      <w:tr>
        <w:trPr/>
        <w:tc>
          <w:tcPr>
            <w:tcW w:w="16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 Backup withholding taxes may also apply to the cash payments made pursuant to the Merger, unless such U.S. holder complies with certain certification procedures or otherwise establishes a valid exemption from backup withholding tax. </w:t>
            </w:r>
          </w:p>
        </w:tc>
      </w:tr>
    </w:tbl>
    <w:p>
      <w:pPr>
        <w:pStyle w:val="TextBody"/>
        <w:bidi w:val="0"/>
        <w:spacing w:before="120" w:after="283"/>
        <w:ind w:left="400" w:right="0" w:hanging="0"/>
        <w:jc w:val="both"/>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For more information, see “U.S. Federal Income Tax Consequences of the Merger” beginning on page </w:t>
      </w:r>
      <w:hyperlink w:anchor="tUSF">
        <w:r>
          <w:rPr>
            <w:rStyle w:val="InternetLink"/>
            <w:rFonts w:ascii="Times New Roman;Times;serif" w:hAnsi="Times New Roman;Times;serif"/>
            <w:b/>
            <w:color w:val="000080"/>
            <w:sz w:val="20"/>
          </w:rPr>
          <w:t>107</w:t>
        </w:r>
      </w:hyperlink>
      <w:r>
        <w:rPr>
          <w:rFonts w:ascii="Times New Roman;Times;serif" w:hAnsi="Times New Roman;Times;serif"/>
          <w:b/>
          <w:color w:val="000000"/>
          <w:sz w:val="20"/>
        </w:rPr>
        <w:t xml:space="preserve"> of this proxy statement. </w:t>
      </w:r>
    </w:p>
    <w:tbl>
      <w:tblPr>
        <w:tblW w:w="6130" w:type="dxa"/>
        <w:jc w:val="left"/>
        <w:tblInd w:w="0" w:type="dxa"/>
        <w:tblLayout w:type="fixed"/>
        <w:tblCellMar>
          <w:top w:w="0" w:type="dxa"/>
          <w:left w:w="0" w:type="dxa"/>
          <w:bottom w:w="0" w:type="dxa"/>
          <w:right w:w="0" w:type="dxa"/>
        </w:tblCellMar>
      </w:tblPr>
      <w:tblGrid>
        <w:gridCol w:w="230"/>
        <w:gridCol w:w="590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90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Are Synaptics stockholders entitled to appraisal or dissenters’ rights? </w:t>
            </w:r>
          </w:p>
        </w:tc>
      </w:tr>
    </w:tbl>
    <w:tbl>
      <w:tblPr>
        <w:tblW w:w="10205" w:type="dxa"/>
        <w:jc w:val="left"/>
        <w:tblInd w:w="0" w:type="dxa"/>
        <w:tblLayout w:type="fixed"/>
        <w:tblCellMar>
          <w:top w:w="0" w:type="dxa"/>
          <w:left w:w="0" w:type="dxa"/>
          <w:bottom w:w="0" w:type="dxa"/>
          <w:right w:w="0" w:type="dxa"/>
        </w:tblCellMar>
      </w:tblPr>
      <w:tblGrid>
        <w:gridCol w:w="160"/>
        <w:gridCol w:w="10045"/>
      </w:tblGrid>
      <w:tr>
        <w:trPr/>
        <w:tc>
          <w:tcPr>
            <w:tcW w:w="1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stockholders intending to exercise appraisal rights must follow the requirements set forth in Section 262 of the DGCL. Under the DGCL, holders of Synaptics common stock (including beneficial owners of Synaptics common stock) who do not vote in favor of approval of the Merger Proposal, who continuously hold shares of Synaptics common stock through the effective time, and who otherwise strictly comply with the applicable provisions of Section 262 of the DGCL, will have the right to seek appraisal of the “fair value” of their shares of Synaptics common stock as determined by the Delaware Court of Chancery if the Merger is completed, in lieu of receiving the Merger Consideration in respect of such shares. Appraisal rights will only be available to holders of Synaptics common stock who properly deliver a written demand for an appraisal to Synaptics prior to the vote on the Merger Proposal at the Special Meeting and do not withdraw their demands, and who otherwise comply with the procedures and requirements set forth in Section 262 of the DGCL, which are summarized in this proxy statement.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appraisal amount could be more than, the same as or less than the amount a Synaptics stockholder will be entitled to receive under the terms of the Merger Agreement. Holders of Synaptics common stock who wish to seek appraisal of their shares are in any case encouraged to seek the advice of legal counsel with respect to the exercise of appraisal rights due to the complexity of the appraisal process. Failure to comply with the provisions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 w:name="ny20081083x2_defm14a_106-qa_pg5"/>
        <w:bookmarkEnd w:id="1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both"/>
        <w:rPr/>
      </w:pPr>
      <w:r>
        <w:rPr>
          <w:rFonts w:ascii="Times New Roman;Times;serif" w:hAnsi="Times New Roman;Times;serif"/>
          <w:color w:val="000000"/>
          <w:sz w:val="20"/>
        </w:rPr>
        <w:t xml:space="preserve">Section 262 of the DGCL in a timely and proper manner may result in the loss of appraisal rights. For additional information, see the section titled “The Merger Agreement—Appraisal Rights of Synaptics Stockholders” beginning on page </w:t>
      </w:r>
      <w:hyperlink w:anchor="tMND">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of this proxy statement. Section 262 of the DGCL is also attached hereto as Annex C and is incorporated by reference herein. </w:t>
      </w:r>
    </w:p>
    <w:tbl>
      <w:tblPr>
        <w:tblW w:w="10205" w:type="dxa"/>
        <w:jc w:val="left"/>
        <w:tblInd w:w="0" w:type="dxa"/>
        <w:tblLayout w:type="fixed"/>
        <w:tblCellMar>
          <w:top w:w="0" w:type="dxa"/>
          <w:left w:w="0" w:type="dxa"/>
          <w:bottom w:w="0" w:type="dxa"/>
          <w:right w:w="0" w:type="dxa"/>
        </w:tblCellMar>
      </w:tblPr>
      <w:tblGrid>
        <w:gridCol w:w="209"/>
        <w:gridCol w:w="9996"/>
      </w:tblGrid>
      <w:tr>
        <w:trPr/>
        <w:tc>
          <w:tcPr>
            <w:tcW w:w="20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6"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Do any of Synaptics’ directors or executive officers have interests in the Merger that may be different from, or in addition to, the interests of Synaptics stockholders generally?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directors and executive officers have interests in the Merger that may be different from, or in addition to, the interests of Synaptics stockholders generally. These interests include, among others: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treatment of outstanding RSU awards, PSU awards, and MSU awards held by Synaptics executive officers and non-employee directors,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severance and other benefits under change of control agreements that onsemi has agreed to assume and honor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For the fiscal year in which the effective time occurs, entitlement to a prorated annual bonus payment at target performance levels for the portion of the fiscal year that has elapsed through the effective time, payable within 15 days following the effective time; and </w:t>
            </w:r>
          </w:p>
        </w:tc>
      </w:tr>
    </w:tbl>
    <w:tbl>
      <w:tblPr>
        <w:tblW w:w="9220" w:type="dxa"/>
        <w:jc w:val="left"/>
        <w:tblInd w:w="0" w:type="dxa"/>
        <w:tblLayout w:type="fixed"/>
        <w:tblCellMar>
          <w:top w:w="0" w:type="dxa"/>
          <w:left w:w="0" w:type="dxa"/>
          <w:bottom w:w="0" w:type="dxa"/>
          <w:right w:w="0" w:type="dxa"/>
        </w:tblCellMar>
      </w:tblPr>
      <w:tblGrid>
        <w:gridCol w:w="110"/>
        <w:gridCol w:w="9110"/>
      </w:tblGrid>
      <w:tr>
        <w:trPr/>
        <w:tc>
          <w:tcPr>
            <w:tcW w:w="110" w:type="dxa"/>
            <w:tcBorders/>
            <w:vAlign w:val="center"/>
          </w:tcPr>
          <w:p>
            <w:pPr>
              <w:pStyle w:val="TableContents"/>
              <w:bidi w:val="0"/>
              <w:spacing w:before="0" w:after="0"/>
              <w:jc w:val="left"/>
              <w:rPr>
                <w:color w:val="000000"/>
              </w:rPr>
            </w:pPr>
            <w:r>
              <w:rPr>
                <w:color w:val="000000"/>
              </w:rPr>
              <w:t>•</w:t>
            </w:r>
          </w:p>
        </w:tc>
        <w:tc>
          <w:tcPr>
            <w:tcW w:w="911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Rights to continued indemnification and directors’ and officers’ liability insurance following the effective time.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was aware of these interests and considered them, among other matters, in evaluating and negotiating the Merger Agreement and the Merger, in approving the Merger Agreement, and in recommending that Synaptics stockholders approve the Merger Proposal, the Advisory Compensation Proposal and the Adjournment Proposal. </w:t>
      </w:r>
    </w:p>
    <w:tbl>
      <w:tblPr>
        <w:tblW w:w="4510" w:type="dxa"/>
        <w:jc w:val="left"/>
        <w:tblInd w:w="0" w:type="dxa"/>
        <w:tblLayout w:type="fixed"/>
        <w:tblCellMar>
          <w:top w:w="0" w:type="dxa"/>
          <w:left w:w="0" w:type="dxa"/>
          <w:bottom w:w="0" w:type="dxa"/>
          <w:right w:w="0" w:type="dxa"/>
        </w:tblCellMar>
      </w:tblPr>
      <w:tblGrid>
        <w:gridCol w:w="230"/>
        <w:gridCol w:w="42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and where will the Special Meeting be held?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Special Meeting will be held as a virtual-only meeting conducted exclusively via live webcast at http://www.virtualshareholdermeeting.com/SYNA2026SM, on November 17, 2026, at 9:00 a.m., Pacific Time. Synaptics stockholders will be able to attend and vote their shares electronically during the Special Meeting by visiting www.virtualshareholdermeeting.com/SYNA2026SM. Synaptics stockholders will need their 16-digit control number, which is included on the proxy card or voting instruction form, to attend and vote during the Special Meeting.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other nominee, trustee or other record holder, you should refer to the instructions provided by your bank, broker, nominee, trustee or other record holder for information on how to attend and vote at the Special Meeting. Beneficial owners may not vote their shares at the Special Meeting unless they have obtained a legal proxy and control number from their bank, broker, nominee, trustee or other record holder giving them the right to do so. </w:t>
      </w:r>
    </w:p>
    <w:tbl>
      <w:tblPr>
        <w:tblW w:w="4180" w:type="dxa"/>
        <w:jc w:val="left"/>
        <w:tblInd w:w="0" w:type="dxa"/>
        <w:tblLayout w:type="fixed"/>
        <w:tblCellMar>
          <w:top w:w="0" w:type="dxa"/>
          <w:left w:w="0" w:type="dxa"/>
          <w:bottom w:w="0" w:type="dxa"/>
          <w:right w:w="0" w:type="dxa"/>
        </w:tblCellMar>
      </w:tblPr>
      <w:tblGrid>
        <w:gridCol w:w="230"/>
        <w:gridCol w:w="39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entitled to vote at the Special Meeting? </w:t>
            </w:r>
          </w:p>
        </w:tc>
      </w:tr>
    </w:tbl>
    <w:tbl>
      <w:tblPr>
        <w:tblW w:w="10205" w:type="dxa"/>
        <w:jc w:val="left"/>
        <w:tblInd w:w="0" w:type="dxa"/>
        <w:tblLayout w:type="fixed"/>
        <w:tblCellMar>
          <w:top w:w="0" w:type="dxa"/>
          <w:left w:w="0" w:type="dxa"/>
          <w:bottom w:w="0" w:type="dxa"/>
          <w:right w:w="0" w:type="dxa"/>
        </w:tblCellMar>
      </w:tblPr>
      <w:tblGrid>
        <w:gridCol w:w="168"/>
        <w:gridCol w:w="10037"/>
      </w:tblGrid>
      <w:tr>
        <w:trPr/>
        <w:tc>
          <w:tcPr>
            <w:tcW w:w="16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7"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Only holders of record of Synaptics common stock as of the close of business on October 13, 2026, the record date for the Special Meeting (the “Record Date”), are entitled to receive notice of, and to vote at, the Special Meeting. As of the Record Date, there were 39,701,387 shares of Synaptics common stock outstanding. Holders of Synaptics common stock are entitled to one vote per share on each proposal presented at the Special Meeting or any adjournments or postponements thereof. </w:t>
            </w:r>
          </w:p>
        </w:tc>
      </w:tr>
    </w:tbl>
    <w:tbl>
      <w:tblPr>
        <w:tblW w:w="1915" w:type="dxa"/>
        <w:jc w:val="left"/>
        <w:tblInd w:w="0" w:type="dxa"/>
        <w:tblLayout w:type="fixed"/>
        <w:tblCellMar>
          <w:top w:w="0" w:type="dxa"/>
          <w:left w:w="0" w:type="dxa"/>
          <w:bottom w:w="0" w:type="dxa"/>
          <w:right w:w="0" w:type="dxa"/>
        </w:tblCellMar>
      </w:tblPr>
      <w:tblGrid>
        <w:gridCol w:w="230"/>
        <w:gridCol w:w="16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16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quorum?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presence, in person (including virtually) or by proxy, of holders of shares of Synaptics common stock representing a majority of the voting power of all shares of Synaptics common stock outstanding and entitled to vote at the Special Meeting is necessary and sufficient to constitute a quorum for the transaction of business at the Special Meeting. Abstentions and broker non-votes (if any) will be counted for purposes of determining whether a quorum is present. If a quorum is not present, the Special Meeting may be adjourned to a later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 w:name="ny20081083x2_defm14a_106-qa_pg6"/>
        <w:bookmarkEnd w:id="18"/>
        <w:r>
          <w:rPr>
            <w:rStyle w:val="InternetLink"/>
            <w:rFonts w:ascii="Times New Roman;Times;Serif" w:hAnsi="Times New Roman;Times;Serif"/>
            <w:b/>
            <w:caps w:val="false"/>
            <w:smallCaps w:val="false"/>
            <w:color w:val="000000"/>
            <w:sz w:val="16"/>
          </w:rPr>
          <w:t>TABLE OF CONTENTS</w:t>
        </w:r>
      </w:hyperlink>
    </w:p>
    <w:tbl>
      <w:tblPr>
        <w:tblW w:w="4615" w:type="dxa"/>
        <w:jc w:val="left"/>
        <w:tblInd w:w="0" w:type="dxa"/>
        <w:tblLayout w:type="fixed"/>
        <w:tblCellMar>
          <w:top w:w="0" w:type="dxa"/>
          <w:left w:w="0" w:type="dxa"/>
          <w:bottom w:w="0" w:type="dxa"/>
          <w:right w:w="0" w:type="dxa"/>
        </w:tblCellMar>
      </w:tblPr>
      <w:tblGrid>
        <w:gridCol w:w="230"/>
        <w:gridCol w:w="438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38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may Synaptics stockholders vote their shares?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9"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Synaptics stockholders of record (i.e., whose shares are registered directly in their name with Synaptics’ transfer agent) may vote their shares by any of the following methods: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Internet</w:t>
            </w:r>
            <w:r>
              <w:rPr>
                <w:rFonts w:ascii="Times New Roman;Times;serif" w:hAnsi="Times New Roman;Times;serif"/>
                <w:color w:val="000000"/>
                <w:sz w:val="20"/>
              </w:rPr>
              <w:t xml:space="preserve">: Visit www.proxyvote.com and follow the instructions until 11:59 p.m. Eastern Time or 8:59 p.m. Pacific Time, on November 16,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Telephone</w:t>
            </w:r>
            <w:r>
              <w:rPr>
                <w:rFonts w:ascii="Times New Roman;Times;serif" w:hAnsi="Times New Roman;Times;serif"/>
                <w:color w:val="000000"/>
                <w:sz w:val="20"/>
              </w:rPr>
              <w:t xml:space="preserve">: Call 1-800-690-6903 toll-free and follow the recorded instructions until 11:59 p.m. Eastern Time or 8:59 p.m. Pacific Time, on November 16,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Mail</w:t>
            </w:r>
            <w:r>
              <w:rPr>
                <w:rFonts w:ascii="Times New Roman;Times;serif" w:hAnsi="Times New Roman;Times;serif"/>
                <w:color w:val="000000"/>
                <w:sz w:val="20"/>
              </w:rPr>
              <w:t xml:space="preserve">: Complete, sign, date and return the proxy card in the prepaid return envelope provided so that it is received by Synaptics before the Special Meeting;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u w:val="single"/>
              </w:rPr>
              <w:t>Online During the Virtual Special Meeting</w:t>
            </w:r>
            <w:r>
              <w:rPr>
                <w:rFonts w:ascii="Times New Roman;Times;serif" w:hAnsi="Times New Roman;Times;serif"/>
                <w:color w:val="000000"/>
                <w:sz w:val="20"/>
              </w:rPr>
              <w:t xml:space="preserve">: Attend the virtual Special Meeting and follow the instructions provided on the meeting website to vote electronically during the Special Meeting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through a bank, broker or other nominee should refer to the instructions provided by their bank, broker or other nominee for information on how to vote their shares. Beneficial owners may not vote their shares at the Special Meeting unless they have obtained a legal proxy and control number from their bank, broker or other nominee giving them the right to do so. </w:t>
      </w:r>
    </w:p>
    <w:tbl>
      <w:tblPr>
        <w:tblW w:w="10205" w:type="dxa"/>
        <w:jc w:val="left"/>
        <w:tblInd w:w="0" w:type="dxa"/>
        <w:tblLayout w:type="fixed"/>
        <w:tblCellMar>
          <w:top w:w="0" w:type="dxa"/>
          <w:left w:w="0" w:type="dxa"/>
          <w:bottom w:w="0" w:type="dxa"/>
          <w:right w:w="0" w:type="dxa"/>
        </w:tblCellMar>
      </w:tblPr>
      <w:tblGrid>
        <w:gridCol w:w="210"/>
        <w:gridCol w:w="9995"/>
      </w:tblGrid>
      <w:tr>
        <w:trPr/>
        <w:tc>
          <w:tcPr>
            <w:tcW w:w="21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95"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color w:val="000000"/>
                <w:sz w:val="20"/>
              </w:rPr>
              <w:t xml:space="preserve">If Synaptics stockholders’ shares are held in “street name” by a bank, broker or other nominee, will such bank, broker or other nominee automatically vote those shares?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No. A bank, broker or other nominee will not be permitted to vote shares of Synaptics common stock at the Special Meeting without specific instructions from the beneficial owner, because all of the proposals to be voted upon at the Special Meeting are considered “non-routine” matters under applicable stock exchange rules. Accordingly, Synaptics stockholders who hold their shares in “street name” and do not provide voting instructions to their bank, broker or other nominee will have their shares unvoted at the Special Meeting, which will have the same effect as a vote “AGAINST” the Merger Proposal and will have no effect on the outcome of the Advisory Compensation Proposal or the Adjournment Proposal.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holding shares in “street name” are encouraged to provide voting instructions to their bank, broker or other nominee in advance of the Special Meeting to ensure their shares are voted in accordance with their wishes. </w:t>
      </w:r>
    </w:p>
    <w:tbl>
      <w:tblPr>
        <w:tblW w:w="2605" w:type="dxa"/>
        <w:jc w:val="left"/>
        <w:tblInd w:w="0" w:type="dxa"/>
        <w:tblLayout w:type="fixed"/>
        <w:tblCellMar>
          <w:top w:w="0" w:type="dxa"/>
          <w:left w:w="0" w:type="dxa"/>
          <w:bottom w:w="0" w:type="dxa"/>
          <w:right w:w="0" w:type="dxa"/>
        </w:tblCellMar>
      </w:tblPr>
      <w:tblGrid>
        <w:gridCol w:w="230"/>
        <w:gridCol w:w="23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3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is a broker non-vote? </w:t>
            </w:r>
          </w:p>
        </w:tc>
      </w:tr>
    </w:tbl>
    <w:tbl>
      <w:tblPr>
        <w:tblW w:w="10205" w:type="dxa"/>
        <w:jc w:val="left"/>
        <w:tblInd w:w="0" w:type="dxa"/>
        <w:tblLayout w:type="fixed"/>
        <w:tblCellMar>
          <w:top w:w="0" w:type="dxa"/>
          <w:left w:w="0" w:type="dxa"/>
          <w:bottom w:w="0" w:type="dxa"/>
          <w:right w:w="0" w:type="dxa"/>
        </w:tblCellMar>
      </w:tblPr>
      <w:tblGrid>
        <w:gridCol w:w="165"/>
        <w:gridCol w:w="10040"/>
      </w:tblGrid>
      <w:tr>
        <w:trPr/>
        <w:tc>
          <w:tcPr>
            <w:tcW w:w="16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A broker non-vote occurs when a bank, broker or other nominee holding shares on behalf of a beneficial owner does not vote those shares on a particular proposal because such bank, broker or other nominee has not received voting instructions from the beneficial owner with respect to that proposal and does not have discretionary voting power to vote those shares. Because all proposals at the Special Meeting are “non-routine” matters, banks, brokers and other nominees are not entitled to vote on any proposal without instructions from the beneficial owner. Accordingly, there will not be any broker non-votes at the Special Meeting. </w:t>
            </w:r>
          </w:p>
        </w:tc>
      </w:tr>
    </w:tbl>
    <w:tbl>
      <w:tblPr>
        <w:tblW w:w="9280" w:type="dxa"/>
        <w:jc w:val="left"/>
        <w:tblInd w:w="0" w:type="dxa"/>
        <w:tblLayout w:type="fixed"/>
        <w:tblCellMar>
          <w:top w:w="0" w:type="dxa"/>
          <w:left w:w="0" w:type="dxa"/>
          <w:bottom w:w="0" w:type="dxa"/>
          <w:right w:w="0" w:type="dxa"/>
        </w:tblCellMar>
      </w:tblPr>
      <w:tblGrid>
        <w:gridCol w:w="230"/>
        <w:gridCol w:w="905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05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will a proxy be voted if a Synaptics stockholder returns a signed but otherwise unmarked proxy card? </w:t>
            </w:r>
          </w:p>
        </w:tc>
      </w:tr>
    </w:tbl>
    <w:tbl>
      <w:tblPr>
        <w:tblW w:w="10205" w:type="dxa"/>
        <w:jc w:val="left"/>
        <w:tblInd w:w="0" w:type="dxa"/>
        <w:tblLayout w:type="fixed"/>
        <w:tblCellMar>
          <w:top w:w="0" w:type="dxa"/>
          <w:left w:w="0" w:type="dxa"/>
          <w:bottom w:w="0" w:type="dxa"/>
          <w:right w:w="0" w:type="dxa"/>
        </w:tblCellMar>
      </w:tblPr>
      <w:tblGrid>
        <w:gridCol w:w="167"/>
        <w:gridCol w:w="10038"/>
      </w:tblGrid>
      <w:tr>
        <w:trPr/>
        <w:tc>
          <w:tcPr>
            <w:tcW w:w="16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8" w:type="dxa"/>
            <w:tcBorders/>
            <w:vAlign w:val="center"/>
          </w:tcPr>
          <w:p>
            <w:pPr>
              <w:pStyle w:val="TableContents"/>
              <w:bidi w:val="0"/>
              <w:spacing w:before="0" w:after="0"/>
              <w:jc w:val="both"/>
              <w:rPr>
                <w:rFonts w:ascii="Times New Roman;Times;serif" w:hAnsi="Times New Roman;Times;serif"/>
                <w:b/>
                <w:color w:val="000000"/>
                <w:sz w:val="20"/>
              </w:rPr>
            </w:pPr>
            <w:r>
              <w:rPr>
                <w:rFonts w:ascii="Times New Roman;Times;serif" w:hAnsi="Times New Roman;Times;serif"/>
                <w:b w:val="false"/>
                <w:color w:val="000000"/>
                <w:sz w:val="20"/>
              </w:rPr>
              <w:t>If a Synaptics stockholder of record returns a signed proxy card without marking any selections, the proxy will be voted in accordance with the recommendations of the Synaptics board. Accordingly, those shares will be voted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Merger Proposal,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the Advisory Compensation Proposal and “</w:t>
            </w:r>
            <w:r>
              <w:rPr>
                <w:rFonts w:ascii="Times New Roman;Times;serif" w:hAnsi="Times New Roman;Times;serif"/>
                <w:b/>
                <w:color w:val="000000"/>
                <w:sz w:val="20"/>
              </w:rPr>
              <w:t xml:space="preserve">FOR” </w:t>
            </w:r>
            <w:r>
              <w:rPr>
                <w:rFonts w:ascii="Times New Roman;Times;serif" w:hAnsi="Times New Roman;Times;serif"/>
                <w:b w:val="false"/>
                <w:color w:val="000000"/>
                <w:sz w:val="20"/>
              </w:rPr>
              <w:t xml:space="preserve">the Adjournment Proposal. With respect to any other business that may properly come before the Special Meeting, the persons named as proxies will vote in their discretion as permitted under applicable rules. </w:t>
            </w:r>
          </w:p>
        </w:tc>
      </w:tr>
    </w:tbl>
    <w:tbl>
      <w:tblPr>
        <w:tblW w:w="7225" w:type="dxa"/>
        <w:jc w:val="left"/>
        <w:tblInd w:w="0" w:type="dxa"/>
        <w:tblLayout w:type="fixed"/>
        <w:tblCellMar>
          <w:top w:w="0" w:type="dxa"/>
          <w:left w:w="0" w:type="dxa"/>
          <w:bottom w:w="0" w:type="dxa"/>
          <w:right w:w="0" w:type="dxa"/>
        </w:tblCellMar>
      </w:tblPr>
      <w:tblGrid>
        <w:gridCol w:w="230"/>
        <w:gridCol w:w="69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9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May Synaptics stockholders change or revoke their vote after submitting a proxy?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9993"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Yes. Synaptics stockholders of record may change or revoke their proxy at any time before it is voted at the Special Meeting by: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Delivering a written notice of revocation to Synaptics’ Corporate Secretary prior to the Special Meeting at the address set forth below under “The Special Meeting—Proxies and Revocation” beginning on page </w:t>
            </w:r>
            <w:hyperlink w:anchor="tPAR1">
              <w:r>
                <w:rPr>
                  <w:rStyle w:val="InternetLink"/>
                  <w:rFonts w:ascii="Times New Roman;Times;serif" w:hAnsi="Times New Roman;Times;serif"/>
                  <w:color w:val="000080"/>
                  <w:sz w:val="20"/>
                </w:rPr>
                <w:t>29</w:t>
              </w:r>
            </w:hyperlink>
            <w:r>
              <w:rPr>
                <w:rFonts w:ascii="Times New Roman;Times;serif" w:hAnsi="Times New Roman;Times;serif"/>
                <w:color w:val="000000"/>
                <w:sz w:val="20"/>
              </w:rPr>
              <w:t xml:space="preserve"> of this proxy statement;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 w:name="ny20081083x2_defm14a_106-qa_pg7"/>
        <w:bookmarkEnd w:id="19"/>
        <w:r>
          <w:rPr>
            <w:rStyle w:val="InternetLink"/>
            <w:rFonts w:ascii="Times New Roman;Times;Serif" w:hAnsi="Times New Roman;Times;Serif"/>
            <w:b/>
            <w:caps w:val="false"/>
            <w:smallCaps w:val="false"/>
            <w:color w:val="000000"/>
            <w:sz w:val="16"/>
          </w:rPr>
          <w:t>TABLE OF CONTENTS</w:t>
        </w:r>
      </w:hyperlink>
    </w:p>
    <w:tbl>
      <w:tblPr>
        <w:tblW w:w="9310" w:type="dxa"/>
        <w:jc w:val="left"/>
        <w:tblInd w:w="0" w:type="dxa"/>
        <w:tblLayout w:type="fixed"/>
        <w:tblCellMar>
          <w:top w:w="0" w:type="dxa"/>
          <w:left w:w="0" w:type="dxa"/>
          <w:bottom w:w="0" w:type="dxa"/>
          <w:right w:w="0" w:type="dxa"/>
        </w:tblCellMar>
      </w:tblPr>
      <w:tblGrid>
        <w:gridCol w:w="110"/>
        <w:gridCol w:w="9200"/>
      </w:tblGrid>
      <w:tr>
        <w:trPr/>
        <w:tc>
          <w:tcPr>
            <w:tcW w:w="110" w:type="dxa"/>
            <w:tcBorders/>
            <w:vAlign w:val="center"/>
          </w:tcPr>
          <w:p>
            <w:pPr>
              <w:pStyle w:val="TableContents"/>
              <w:bidi w:val="0"/>
              <w:spacing w:before="0" w:after="0"/>
              <w:jc w:val="left"/>
              <w:rPr>
                <w:color w:val="000000"/>
              </w:rPr>
            </w:pPr>
            <w:r>
              <w:rPr>
                <w:color w:val="000000"/>
              </w:rPr>
              <w:t>•</w:t>
            </w:r>
          </w:p>
        </w:tc>
        <w:tc>
          <w:tcPr>
            <w:tcW w:w="920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bearing a later date via mail, telephone or Internet (subject to applicable deadlines); or </w:t>
            </w:r>
          </w:p>
        </w:tc>
      </w:tr>
    </w:tbl>
    <w:tbl>
      <w:tblPr>
        <w:tblW w:w="7600" w:type="dxa"/>
        <w:jc w:val="left"/>
        <w:tblInd w:w="0" w:type="dxa"/>
        <w:tblLayout w:type="fixed"/>
        <w:tblCellMar>
          <w:top w:w="0" w:type="dxa"/>
          <w:left w:w="0" w:type="dxa"/>
          <w:bottom w:w="0" w:type="dxa"/>
          <w:right w:w="0" w:type="dxa"/>
        </w:tblCellMar>
      </w:tblPr>
      <w:tblGrid>
        <w:gridCol w:w="110"/>
        <w:gridCol w:w="7490"/>
      </w:tblGrid>
      <w:tr>
        <w:trPr/>
        <w:tc>
          <w:tcPr>
            <w:tcW w:w="110" w:type="dxa"/>
            <w:tcBorders/>
            <w:vAlign w:val="center"/>
          </w:tcPr>
          <w:p>
            <w:pPr>
              <w:pStyle w:val="TableContents"/>
              <w:bidi w:val="0"/>
              <w:spacing w:before="0" w:after="0"/>
              <w:jc w:val="left"/>
              <w:rPr>
                <w:color w:val="000000"/>
              </w:rPr>
            </w:pPr>
            <w:r>
              <w:rPr>
                <w:color w:val="000000"/>
              </w:rPr>
              <w:t>•</w:t>
            </w:r>
          </w:p>
        </w:tc>
        <w:tc>
          <w:tcPr>
            <w:tcW w:w="74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Attending the virtual Special Meeting and voting online using the 16-digit control number.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Please note that simply attending the virtual Special Meeting without voting will not, by itself, revoke a prior proxy. </w:t>
      </w:r>
    </w:p>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Beneficial owners of shares held in “street name” must contact their bank, broker or other nominee to revoke or change their voting instructions prior to the Special Meeting. </w:t>
      </w:r>
    </w:p>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Synaptics stockholders sell or transfer their shares before the Record Date or before the Merger is completed? </w:t>
            </w:r>
          </w:p>
        </w:tc>
      </w:tr>
    </w:tbl>
    <w:tbl>
      <w:tblPr>
        <w:tblW w:w="10205" w:type="dxa"/>
        <w:jc w:val="left"/>
        <w:tblInd w:w="0" w:type="dxa"/>
        <w:tblLayout w:type="fixed"/>
        <w:tblCellMar>
          <w:top w:w="0" w:type="dxa"/>
          <w:left w:w="0" w:type="dxa"/>
          <w:bottom w:w="0" w:type="dxa"/>
          <w:right w:w="0" w:type="dxa"/>
        </w:tblCellMar>
      </w:tblPr>
      <w:tblGrid>
        <w:gridCol w:w="161"/>
        <w:gridCol w:w="10044"/>
      </w:tblGrid>
      <w:tr>
        <w:trPr/>
        <w:tc>
          <w:tcPr>
            <w:tcW w:w="161"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4"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shares of Synaptics common stock are sold or transferred before the Record Date, the transferring stockholder will not be entitled to vote those shares at the Special Meeting. If shares are sold or transferred after the Record Date but before the Special Meeting, the transferring stockholder will retain the right to vote at the Special Meeting but will have transferred the economic interest in those shares. If shares are sold or transferred after the Record Date but before the completion of the Merger, the transferring stockholder will not be entitled to receive the Merger Consideration in respect of those shares. To receive the Merger Consideration, Synaptics stockholders must hold their shares of Synaptics common stock through the effective time. Further, if shares are sold or transferred after the Record Date but before the completion of the Merger, the transferring stockholder will also lose the ability to exercise appraisal rights in connection with the Merger with respect to the transferred shares of Synaptics common stock. </w:t>
            </w:r>
          </w:p>
        </w:tc>
      </w:tr>
    </w:tbl>
    <w:tbl>
      <w:tblPr>
        <w:tblW w:w="5110" w:type="dxa"/>
        <w:jc w:val="left"/>
        <w:tblInd w:w="0" w:type="dxa"/>
        <w:tblLayout w:type="fixed"/>
        <w:tblCellMar>
          <w:top w:w="0" w:type="dxa"/>
          <w:left w:w="0" w:type="dxa"/>
          <w:bottom w:w="0" w:type="dxa"/>
          <w:right w:w="0" w:type="dxa"/>
        </w:tblCellMar>
      </w:tblPr>
      <w:tblGrid>
        <w:gridCol w:w="230"/>
        <w:gridCol w:w="48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8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conditions to the completion of the Merger? </w:t>
            </w:r>
          </w:p>
        </w:tc>
      </w:tr>
    </w:tbl>
    <w:tbl>
      <w:tblPr>
        <w:tblW w:w="6595" w:type="dxa"/>
        <w:jc w:val="left"/>
        <w:tblInd w:w="0" w:type="dxa"/>
        <w:tblLayout w:type="fixed"/>
        <w:tblCellMar>
          <w:top w:w="0" w:type="dxa"/>
          <w:left w:w="0" w:type="dxa"/>
          <w:bottom w:w="0" w:type="dxa"/>
          <w:right w:w="0" w:type="dxa"/>
        </w:tblCellMar>
      </w:tblPr>
      <w:tblGrid>
        <w:gridCol w:w="215"/>
        <w:gridCol w:w="6380"/>
      </w:tblGrid>
      <w:tr>
        <w:trPr/>
        <w:tc>
          <w:tcPr>
            <w:tcW w:w="21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6380" w:type="dxa"/>
            <w:tcBorders/>
            <w:vAlign w:val="center"/>
          </w:tcPr>
          <w:p>
            <w:pPr>
              <w:pStyle w:val="TableContents"/>
              <w:bidi w:val="0"/>
              <w:spacing w:before="0" w:after="0"/>
              <w:jc w:val="left"/>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completion of the Merger is subject to a number of conditions, including: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Adoption of the Merger Agreement by the affirmative vote of the holders of a majority of the issued and outstanding shares of Synaptics common stock entitled to vote thereon;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periods under specified antitrust laws and the receipt of required approvals under specified antitrust and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parties’ representations and warranties, subject to applicable materiality qualifiers, and compliance by the parties with their respective covenants and agreements;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order, injunction or other legal restraint of specified jurisdictions that would prevent, make illegal or prohibit the consummation of the Merger. </w:t>
            </w:r>
          </w:p>
        </w:tc>
      </w:tr>
    </w:tbl>
    <w:p>
      <w:pPr>
        <w:pStyle w:val="TextBody"/>
        <w:bidi w:val="0"/>
        <w:spacing w:before="120" w:after="283"/>
        <w:ind w:left="400" w:right="0" w:hanging="0"/>
        <w:jc w:val="both"/>
        <w:rPr/>
      </w:pPr>
      <w:r>
        <w:rPr>
          <w:rFonts w:ascii="Times New Roman;Times;serif" w:hAnsi="Times New Roman;Times;serif"/>
          <w:color w:val="000000"/>
          <w:sz w:val="20"/>
        </w:rPr>
        <w:t>These conditions are described in the section titled “The Merger—Conditions to the Merger” beginning on page </w:t>
      </w:r>
      <w:hyperlink w:anchor="tCTT1">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of this proxy statement. </w:t>
      </w:r>
    </w:p>
    <w:tbl>
      <w:tblPr>
        <w:tblW w:w="4210" w:type="dxa"/>
        <w:jc w:val="left"/>
        <w:tblInd w:w="0" w:type="dxa"/>
        <w:tblLayout w:type="fixed"/>
        <w:tblCellMar>
          <w:top w:w="0" w:type="dxa"/>
          <w:left w:w="0" w:type="dxa"/>
          <w:bottom w:w="0" w:type="dxa"/>
          <w:right w:w="0" w:type="dxa"/>
        </w:tblCellMar>
      </w:tblPr>
      <w:tblGrid>
        <w:gridCol w:w="230"/>
        <w:gridCol w:w="398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When is the Merger expected to be completed?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Merger is expected to be completed as soon as practicable after the satisfaction or waiver of all applicable closing conditions. Unless the Merger Agreement is terminated earlier, if all other conditions to closing have been satisfied or waived, the Merger must be completed no later than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resulting in a maximum extended End Date of March 25, 2028. There is no guarantee as to the exact timing of the completion of the Merger or that the Merger will be completed at all. </w:t>
            </w:r>
          </w:p>
        </w:tc>
      </w:tr>
    </w:tbl>
    <w:tbl>
      <w:tblPr>
        <w:tblW w:w="4165" w:type="dxa"/>
        <w:jc w:val="left"/>
        <w:tblInd w:w="0" w:type="dxa"/>
        <w:tblLayout w:type="fixed"/>
        <w:tblCellMar>
          <w:top w:w="0" w:type="dxa"/>
          <w:left w:w="0" w:type="dxa"/>
          <w:bottom w:w="0" w:type="dxa"/>
          <w:right w:w="0" w:type="dxa"/>
        </w:tblCellMar>
      </w:tblPr>
      <w:tblGrid>
        <w:gridCol w:w="230"/>
        <w:gridCol w:w="393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393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happens if the Merger is not completed? </w:t>
            </w:r>
          </w:p>
        </w:tc>
      </w:tr>
    </w:tbl>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8"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Agreement is terminated, Synaptics stockholders will not receive any consideration for their shares in connection with the Merger, and Synaptics will remain an independent public company. Synaptics’ common stock will continue to be listed and traded on Nasdaq under the ticker symbol “SYNA.”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 w:name="ny20081083x2_defm14a_106-qa_pg8"/>
        <w:bookmarkEnd w:id="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Depending on the reason for termination, a termination fee may be payable: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including if Synaptics terminates the Merger Agreement to enter into a definitive agreement for a superior proposal, or if onsemi terminates the Merger Agreement following a change in the recommendation of the Synaptics board, Synaptics is required to pay onsemi a termination fee of $235,000,000 (the “Synaptics Termination Fee”).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Under specified circumstances related to the failure to obtain required regulatory approvals prior to the End Date, onsemi is required to pay Synaptics a termination fee of $320,000,000 (the “onsemi Regulatory Termination Fee”). </w:t>
            </w:r>
          </w:p>
        </w:tc>
      </w:tr>
    </w:tbl>
    <w:tbl>
      <w:tblPr>
        <w:tblW w:w="10205" w:type="dxa"/>
        <w:jc w:val="left"/>
        <w:tblInd w:w="0" w:type="dxa"/>
        <w:tblLayout w:type="fixed"/>
        <w:tblCellMar>
          <w:top w:w="0" w:type="dxa"/>
          <w:left w:w="0" w:type="dxa"/>
          <w:bottom w:w="0" w:type="dxa"/>
          <w:right w:w="0" w:type="dxa"/>
        </w:tblCellMar>
      </w:tblPr>
      <w:tblGrid>
        <w:gridCol w:w="229"/>
        <w:gridCol w:w="9976"/>
      </w:tblGrid>
      <w:tr>
        <w:trPr/>
        <w:tc>
          <w:tcPr>
            <w:tcW w:w="229"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76"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Can the Synaptics board change its recommendation that Synaptics stockholders vote to adopt the Merger Agreement?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may change, withhold, withdraw, qualify or modify its recommendation that Synaptics stockholders adopt the Merger Agreement (a “Change in Recommendation”) only under specified circumstances, including in connection with a “superior proposal” or an “intervening event,” subject to compliance with detailed procedural requirements including advance notice to onsemi, a negotiation period, and certain fiduciary-duty determinations. In the case of an intervening event, the Synaptics board may make a Change in Recommendation but may not terminate the Merger Agreement unless a separate termination right applies. </w:t>
            </w:r>
          </w:p>
        </w:tc>
      </w:tr>
    </w:tbl>
    <w:p>
      <w:pPr>
        <w:pStyle w:val="TextBody"/>
        <w:bidi w:val="0"/>
        <w:spacing w:before="120" w:after="283"/>
        <w:ind w:left="4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Synaptics is subject to restrictions on soliciting or encouraging alternative acquisition proposals, subject to customary fiduciary-out exceptions for unsolicited proposals that could lead to or constitute a superior proposal. </w:t>
      </w:r>
    </w:p>
    <w:tbl>
      <w:tblPr>
        <w:tblW w:w="4525" w:type="dxa"/>
        <w:jc w:val="left"/>
        <w:tblInd w:w="0" w:type="dxa"/>
        <w:tblLayout w:type="fixed"/>
        <w:tblCellMar>
          <w:top w:w="0" w:type="dxa"/>
          <w:left w:w="0" w:type="dxa"/>
          <w:bottom w:w="0" w:type="dxa"/>
          <w:right w:w="0" w:type="dxa"/>
        </w:tblCellMar>
      </w:tblPr>
      <w:tblGrid>
        <w:gridCol w:w="230"/>
        <w:gridCol w:w="429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429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are the “no-shop” restrictions on Synaptics? </w:t>
            </w:r>
          </w:p>
        </w:tc>
      </w:tr>
    </w:tbl>
    <w:tbl>
      <w:tblPr>
        <w:tblW w:w="10205" w:type="dxa"/>
        <w:jc w:val="left"/>
        <w:tblInd w:w="0" w:type="dxa"/>
        <w:tblLayout w:type="fixed"/>
        <w:tblCellMar>
          <w:top w:w="0" w:type="dxa"/>
          <w:left w:w="0" w:type="dxa"/>
          <w:bottom w:w="0" w:type="dxa"/>
          <w:right w:w="0" w:type="dxa"/>
        </w:tblCellMar>
      </w:tblPr>
      <w:tblGrid>
        <w:gridCol w:w="163"/>
        <w:gridCol w:w="10042"/>
      </w:tblGrid>
      <w:tr>
        <w:trPr/>
        <w:tc>
          <w:tcPr>
            <w:tcW w:w="16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Under the Merger Agreement, Synaptics and its representatives are prohibited from, among other things, soliciting, initiating, knowingly encouraging, or facilitating any alternative acquisition proposal or providing non-public information to, or engaging in negotiations with, any third party with respect to an acquisition proposal. However, subject to compliance with specified conditions (including entry into a confidentiality agreement and notification to onsemi), the Synaptics board may engage with a third party that has made a bona fide, written, unsolicited acquisition proposal that the Synaptics board determines in good faith (after consultation with its financial advisors and outside legal counsel) could lead to or constitutes a superior proposal. </w:t>
            </w:r>
          </w:p>
        </w:tc>
      </w:tr>
    </w:tbl>
    <w:tbl>
      <w:tblPr>
        <w:tblW w:w="5290" w:type="dxa"/>
        <w:jc w:val="left"/>
        <w:tblInd w:w="0" w:type="dxa"/>
        <w:tblLayout w:type="fixed"/>
        <w:tblCellMar>
          <w:top w:w="0" w:type="dxa"/>
          <w:left w:w="0" w:type="dxa"/>
          <w:bottom w:w="0" w:type="dxa"/>
          <w:right w:w="0" w:type="dxa"/>
        </w:tblCellMar>
      </w:tblPr>
      <w:tblGrid>
        <w:gridCol w:w="230"/>
        <w:gridCol w:w="506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506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will happen to the listing of Synaptics common stock? </w:t>
            </w:r>
          </w:p>
        </w:tc>
      </w:tr>
    </w:tbl>
    <w:tbl>
      <w:tblPr>
        <w:tblW w:w="10205" w:type="dxa"/>
        <w:jc w:val="left"/>
        <w:tblInd w:w="0" w:type="dxa"/>
        <w:tblLayout w:type="fixed"/>
        <w:tblCellMar>
          <w:top w:w="0" w:type="dxa"/>
          <w:left w:w="0" w:type="dxa"/>
          <w:bottom w:w="0" w:type="dxa"/>
          <w:right w:w="0" w:type="dxa"/>
        </w:tblCellMar>
      </w:tblPr>
      <w:tblGrid>
        <w:gridCol w:w="205"/>
        <w:gridCol w:w="10000"/>
      </w:tblGrid>
      <w:tr>
        <w:trPr/>
        <w:tc>
          <w:tcPr>
            <w:tcW w:w="20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00"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the Merger is completed, shares of Synaptics common stock will cease to be listed on Nasdaq and will be deregistered under the Exchange Act. </w:t>
            </w:r>
          </w:p>
        </w:tc>
      </w:tr>
    </w:tbl>
    <w:tbl>
      <w:tblPr>
        <w:tblW w:w="2305" w:type="dxa"/>
        <w:jc w:val="left"/>
        <w:tblInd w:w="0" w:type="dxa"/>
        <w:tblLayout w:type="fixed"/>
        <w:tblCellMar>
          <w:top w:w="0" w:type="dxa"/>
          <w:left w:w="0" w:type="dxa"/>
          <w:bottom w:w="0" w:type="dxa"/>
          <w:right w:w="0" w:type="dxa"/>
        </w:tblCellMar>
      </w:tblPr>
      <w:tblGrid>
        <w:gridCol w:w="230"/>
        <w:gridCol w:w="20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20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How are votes counted?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2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Votes will be counted by an individual designated by the Synaptics board to serve as the inspector of election for the Special Meeting. The inspector of election will separately count “FOR” votes, “AGAINST” votes, abstentions and broker non-votes (if any) for each proposal. </w:t>
            </w:r>
          </w:p>
        </w:tc>
      </w:tr>
    </w:tbl>
    <w:tbl>
      <w:tblPr>
        <w:tblW w:w="6805" w:type="dxa"/>
        <w:jc w:val="left"/>
        <w:tblInd w:w="0" w:type="dxa"/>
        <w:tblLayout w:type="fixed"/>
        <w:tblCellMar>
          <w:top w:w="0" w:type="dxa"/>
          <w:left w:w="0" w:type="dxa"/>
          <w:bottom w:w="0" w:type="dxa"/>
          <w:right w:w="0" w:type="dxa"/>
        </w:tblCellMar>
      </w:tblPr>
      <w:tblGrid>
        <w:gridCol w:w="230"/>
        <w:gridCol w:w="657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5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What if Synaptics stockholders receive more than one set of proxy materials? </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5"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a Synaptics stockholder receives more than one set of proxy materials (for example, because shares of Synaptics common stock are held in more than one brokerage account or in both registered and “street name” form), each set represents a separate holding of shares and must be voted separately. Each proxy card should be completed, signed, dated and returned, or each proxy should be submitted by telephone or Internet, so that all shares are voted. </w:t>
            </w:r>
          </w:p>
        </w:tc>
      </w:tr>
    </w:tbl>
    <w:tbl>
      <w:tblPr>
        <w:tblW w:w="6400" w:type="dxa"/>
        <w:jc w:val="left"/>
        <w:tblInd w:w="0" w:type="dxa"/>
        <w:tblLayout w:type="fixed"/>
        <w:tblCellMar>
          <w:top w:w="0" w:type="dxa"/>
          <w:left w:w="0" w:type="dxa"/>
          <w:bottom w:w="0" w:type="dxa"/>
          <w:right w:w="0" w:type="dxa"/>
        </w:tblCellMar>
      </w:tblPr>
      <w:tblGrid>
        <w:gridCol w:w="230"/>
        <w:gridCol w:w="6170"/>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617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is soliciting Synaptics stockholders’ proxies and what are the costs? </w:t>
            </w:r>
          </w:p>
        </w:tc>
      </w:tr>
    </w:tbl>
    <w:tbl>
      <w:tblPr>
        <w:tblW w:w="10205" w:type="dxa"/>
        <w:jc w:val="left"/>
        <w:tblInd w:w="0" w:type="dxa"/>
        <w:tblLayout w:type="fixed"/>
        <w:tblCellMar>
          <w:top w:w="0" w:type="dxa"/>
          <w:left w:w="0" w:type="dxa"/>
          <w:bottom w:w="0" w:type="dxa"/>
          <w:right w:w="0" w:type="dxa"/>
        </w:tblCellMar>
      </w:tblPr>
      <w:tblGrid>
        <w:gridCol w:w="164"/>
        <w:gridCol w:w="10041"/>
      </w:tblGrid>
      <w:tr>
        <w:trPr/>
        <w:tc>
          <w:tcPr>
            <w:tcW w:w="164"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41"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The Synaptics board is soliciting proxies for the Special Meeting. Synaptics will bear the cost of soliciting proxies, including the preparation, assembly, printing and mailing of this proxy statement. Synaptics has retained MacKenzie Partners, Inc. (“MacKenzie Partners”) as its proxy solicitation agent, for a fee of approximately $35,000, plus reasonable out-of-pocket expenses. In addition, directors, officers and employees of Synaptics may solicit proxies by telephone, electronic communication or personal contact without additional compensation. Banks, brokers and other nominees will be requested to forward proxy materials to their clients, and Synaptics may reimburse them for their reasonable out-of-pocket expenses.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 w:name="ny20081083x2_defm14a_106-qa_pg9"/>
        <w:bookmarkEnd w:id="21"/>
        <w:r>
          <w:rPr>
            <w:rStyle w:val="InternetLink"/>
            <w:rFonts w:ascii="Times New Roman;Times;Serif" w:hAnsi="Times New Roman;Times;Serif"/>
            <w:b/>
            <w:caps w:val="false"/>
            <w:smallCaps w:val="false"/>
            <w:color w:val="000000"/>
            <w:sz w:val="16"/>
          </w:rPr>
          <w:t>TABLE OF CONTENTS</w:t>
        </w:r>
      </w:hyperlink>
    </w:p>
    <w:tbl>
      <w:tblPr>
        <w:tblW w:w="8785" w:type="dxa"/>
        <w:jc w:val="left"/>
        <w:tblInd w:w="0" w:type="dxa"/>
        <w:tblLayout w:type="fixed"/>
        <w:tblCellMar>
          <w:top w:w="0" w:type="dxa"/>
          <w:left w:w="0" w:type="dxa"/>
          <w:bottom w:w="0" w:type="dxa"/>
          <w:right w:w="0" w:type="dxa"/>
        </w:tblCellMar>
      </w:tblPr>
      <w:tblGrid>
        <w:gridCol w:w="230"/>
        <w:gridCol w:w="8555"/>
      </w:tblGrid>
      <w:tr>
        <w:trPr/>
        <w:tc>
          <w:tcPr>
            <w:tcW w:w="23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85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Where can Synaptics stockholders find more information about the Merger and the Special Meeting? </w:t>
            </w:r>
          </w:p>
        </w:tc>
      </w:tr>
    </w:tbl>
    <w:tbl>
      <w:tblPr>
        <w:tblW w:w="10205" w:type="dxa"/>
        <w:jc w:val="left"/>
        <w:tblInd w:w="0" w:type="dxa"/>
        <w:tblLayout w:type="fixed"/>
        <w:tblCellMar>
          <w:top w:w="0" w:type="dxa"/>
          <w:left w:w="0" w:type="dxa"/>
          <w:bottom w:w="0" w:type="dxa"/>
          <w:right w:w="0" w:type="dxa"/>
        </w:tblCellMar>
      </w:tblPr>
      <w:tblGrid>
        <w:gridCol w:w="175"/>
        <w:gridCol w:w="10030"/>
      </w:tblGrid>
      <w:tr>
        <w:trPr/>
        <w:tc>
          <w:tcPr>
            <w:tcW w:w="17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0" w:type="dxa"/>
            <w:tcBorders/>
            <w:vAlign w:val="center"/>
          </w:tcPr>
          <w:p>
            <w:pPr>
              <w:pStyle w:val="TableContents"/>
              <w:bidi w:val="0"/>
              <w:spacing w:before="0" w:after="0"/>
              <w:jc w:val="both"/>
              <w:rPr/>
            </w:pPr>
            <w:r>
              <w:rPr>
                <w:rFonts w:ascii="Times New Roman;Times;serif" w:hAnsi="Times New Roman;Times;serif"/>
                <w:b w:val="false"/>
                <w:color w:val="000000"/>
                <w:sz w:val="20"/>
              </w:rPr>
              <w:t xml:space="preserve">More information about Synaptics and onsemi, and access to important documents relating to the Merger and the Special Meeting, can be found through the SEC’s website at www.sec.gov and from various sources described in the section titled “Where You Can Find More Information” beginning on page </w:t>
            </w:r>
            <w:hyperlink w:anchor="tWYC">
              <w:r>
                <w:rPr>
                  <w:rStyle w:val="InternetLink"/>
                  <w:rFonts w:ascii="Times New Roman;Times;serif" w:hAnsi="Times New Roman;Times;serif"/>
                  <w:b w:val="false"/>
                  <w:color w:val="000080"/>
                  <w:sz w:val="20"/>
                </w:rPr>
                <w:t>122</w:t>
              </w:r>
            </w:hyperlink>
            <w:r>
              <w:rPr>
                <w:rFonts w:ascii="Times New Roman;Times;serif" w:hAnsi="Times New Roman;Times;serif"/>
                <w:b w:val="false"/>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218"/>
        <w:gridCol w:w="9987"/>
      </w:tblGrid>
      <w:tr>
        <w:trPr/>
        <w:tc>
          <w:tcPr>
            <w:tcW w:w="218"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Q:</w:t>
            </w:r>
          </w:p>
        </w:tc>
        <w:tc>
          <w:tcPr>
            <w:tcW w:w="9987"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Who can answer any questions I may have about the Special Meeting, the Merger or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A:</w:t>
            </w:r>
          </w:p>
        </w:tc>
        <w:tc>
          <w:tcPr>
            <w:tcW w:w="10032" w:type="dxa"/>
            <w:tcBorders/>
            <w:vAlign w:val="center"/>
          </w:tcPr>
          <w:p>
            <w:pPr>
              <w:pStyle w:val="TableContents"/>
              <w:bidi w:val="0"/>
              <w:spacing w:before="0" w:after="0"/>
              <w:jc w:val="both"/>
              <w:rPr>
                <w:rFonts w:ascii="Times New Roman;Times;serif" w:hAnsi="Times New Roman;Times;serif"/>
                <w:b w:val="false"/>
                <w:color w:val="000000"/>
                <w:sz w:val="20"/>
              </w:rPr>
            </w:pPr>
            <w:r>
              <w:rPr>
                <w:rFonts w:ascii="Times New Roman;Times;serif" w:hAnsi="Times New Roman;Times;serif"/>
                <w:b w:val="false"/>
                <w:color w:val="000000"/>
                <w:sz w:val="20"/>
              </w:rPr>
              <w:t xml:space="preserve">If you have any questions about the Special Meeting, the Merger or the other transactions contemplated by the Merger Agreement or how to submit your proxy, or if you need additional copies of this proxy statement or documents incorporated by reference herein, the enclosed proxy card or voting instructions, you should contact Synaptics or Synaptics’ proxy solicitor: </w:t>
            </w:r>
          </w:p>
        </w:tc>
      </w:tr>
    </w:tbl>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Synaptics Incorporated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1109 McKay Drive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San Jose, California 95131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Attention: Corporate Secretary </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 xml:space="preserve">(408) 904-1100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or</w:t>
      </w:r>
    </w:p>
    <w:p>
      <w:pPr>
        <w:pStyle w:val="TextBody"/>
        <w:bidi w:val="0"/>
        <w:spacing w:before="305" w:after="283"/>
        <w:jc w:val="center"/>
        <w:rPr>
          <w:color w:val="000000"/>
        </w:rPr>
      </w:pPr>
      <w:r>
        <w:rPr>
          <w:color w:val="000000"/>
        </w:rPr>
        <w:drawing>
          <wp:inline distT="0" distB="0" distL="0" distR="0">
            <wp:extent cx="1933575" cy="5715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 w:name="ny20081083x2_defm14a_107-summary_pg1"/>
        <w:bookmarkEnd w:id="2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center"/>
        <w:rPr>
          <w:rFonts w:ascii="Times New Roman;Times;serif" w:hAnsi="Times New Roman;Times;serif"/>
          <w:b/>
          <w:color w:val="000000"/>
          <w:sz w:val="20"/>
          <w:bdr w:val="single" w:sz="8" w:space="12" w:color="000000"/>
        </w:rPr>
      </w:pPr>
      <w:bookmarkStart w:id="23" w:name="tSUM"/>
      <w:bookmarkEnd w:id="23"/>
      <w:r>
        <w:rPr>
          <w:rFonts w:ascii="Times New Roman;Times;serif" w:hAnsi="Times New Roman;Times;serif"/>
          <w:b/>
          <w:color w:val="000000"/>
          <w:sz w:val="20"/>
          <w:bdr w:val="single" w:sz="8" w:space="12" w:color="000000"/>
        </w:rPr>
        <w:t xml:space="preserve">SUMMARY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This summary highlights selected information from this proxy statement related to the Merger. It may not contain all of the information that is important to you. You are urged to read carefully this entire proxy statement, including the attached annexes and the other documents incorporated by reference into this proxy statement, in order to fully understand the Merger Agreement and the Merger. See the section titled “Where You Can Find More Information” beginning on page </w:t>
      </w:r>
      <w:hyperlink w:anchor="tWYC">
        <w:r>
          <w:rPr>
            <w:rStyle w:val="InternetLink"/>
          </w:rPr>
          <w:t>122</w:t>
        </w:r>
      </w:hyperlink>
      <w:r>
        <w:rPr>
          <w:rFonts w:ascii="Times New Roman;Times;serif" w:hAnsi="Times New Roman;Times;serif"/>
          <w:color w:val="000000"/>
          <w:sz w:val="20"/>
          <w:bdr w:val="single" w:sz="8" w:space="12" w:color="000000"/>
        </w:rPr>
        <w:t xml:space="preserve"> of this proxy statement. Each item in this summary refers to the page of this proxy statement on which that subject is discussed in more detail. </w:t>
      </w:r>
    </w:p>
    <w:tbl>
      <w:tblPr>
        <w:tblW w:w="5215" w:type="dxa"/>
        <w:jc w:val="left"/>
        <w:tblInd w:w="240" w:type="dxa"/>
        <w:tblLayout w:type="fixed"/>
        <w:tblCellMar>
          <w:top w:w="0" w:type="dxa"/>
          <w:left w:w="0" w:type="dxa"/>
          <w:bottom w:w="0" w:type="dxa"/>
          <w:right w:w="0" w:type="dxa"/>
        </w:tblCellMar>
      </w:tblPr>
      <w:tblGrid>
        <w:gridCol w:w="170"/>
        <w:gridCol w:w="504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4" w:name="tSUM1"/>
            <w:bookmarkEnd w:id="24"/>
            <w:r>
              <w:rPr>
                <w:rFonts w:ascii="Times New Roman;Times;serif" w:hAnsi="Times New Roman;Times;serif"/>
                <w:b/>
                <w:color w:val="000000"/>
                <w:sz w:val="20"/>
              </w:rPr>
              <w:t>1.</w:t>
            </w:r>
          </w:p>
        </w:tc>
        <w:tc>
          <w:tcPr>
            <w:tcW w:w="504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INFORMATION ABOUT THE COMPANIES </w:t>
            </w:r>
            <w:r>
              <w:rPr>
                <w:rFonts w:ascii="Times New Roman;Times;serif" w:hAnsi="Times New Roman;Times;serif"/>
                <w:b w:val="false"/>
                <w:color w:val="000000"/>
                <w:sz w:val="20"/>
              </w:rPr>
              <w:t xml:space="preserve">(See Page </w:t>
            </w:r>
            <w:hyperlink w:anchor="tIAT">
              <w:r>
                <w:rPr>
                  <w:rStyle w:val="InternetLink"/>
                  <w:rFonts w:ascii="Times New Roman;Times;serif" w:hAnsi="Times New Roman;Times;serif"/>
                  <w:b w:val="false"/>
                  <w:color w:val="000080"/>
                  <w:sz w:val="20"/>
                </w:rPr>
                <w:t>24</w:t>
              </w:r>
            </w:hyperlink>
            <w:r>
              <w:rPr>
                <w:rFonts w:ascii="Times New Roman;Times;serif" w:hAnsi="Times New Roman;Times;serif"/>
                <w:b w:val="false"/>
                <w:color w:val="000000"/>
                <w:sz w:val="20"/>
              </w:rPr>
              <w:t xml:space="preserve">) </w:t>
            </w:r>
          </w:p>
        </w:tc>
      </w:tr>
    </w:tbl>
    <w:p>
      <w:pPr>
        <w:pStyle w:val="TextBody"/>
        <w:bidi w:val="0"/>
        <w:spacing w:before="14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ON Semiconductor Corporation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artificial intelligence (“AI”) data center end-markets. </w:t>
      </w:r>
    </w:p>
    <w:p>
      <w:pPr>
        <w:pStyle w:val="TextBody"/>
        <w:bidi w:val="0"/>
        <w:spacing w:before="160" w:after="240"/>
        <w:ind w:left="240" w:right="0" w:firstLine="400"/>
        <w:jc w:val="left"/>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trading market for onsemi common stock (Nasdaq: ON) is the Nasdaq Stock Market LLC.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 are not incorporated into or deemed to be a part of this proxy statement. </w:t>
      </w:r>
    </w:p>
    <w:p>
      <w:pPr>
        <w:pStyle w:val="TextBody"/>
        <w:bidi w:val="0"/>
        <w:spacing w:before="39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Incorporated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Incorporated, which is referred to in this proxy statement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 and, therefore, is not incorporated into this proxy statement by reference.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common stock is listed on Nasdaq under the ticker symbol “SYNA.” Following the closing of the Merger, Synaptics common stock will be delisted from Nasdaq. </w:t>
      </w:r>
    </w:p>
    <w:p>
      <w:pPr>
        <w:pStyle w:val="TextBody"/>
        <w:bidi w:val="0"/>
        <w:spacing w:before="400" w:after="240"/>
        <w:ind w:left="240" w:right="0" w:hanging="0"/>
        <w:jc w:val="left"/>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Sonic Acquisition Corp.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tbl>
      <w:tblPr>
        <w:tblW w:w="5860" w:type="dxa"/>
        <w:jc w:val="left"/>
        <w:tblInd w:w="240" w:type="dxa"/>
        <w:tblLayout w:type="fixed"/>
        <w:tblCellMar>
          <w:top w:w="0" w:type="dxa"/>
          <w:left w:w="0" w:type="dxa"/>
          <w:bottom w:w="0" w:type="dxa"/>
          <w:right w:w="0" w:type="dxa"/>
        </w:tblCellMar>
      </w:tblPr>
      <w:tblGrid>
        <w:gridCol w:w="170"/>
        <w:gridCol w:w="569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5" w:name="tSUM2"/>
            <w:bookmarkEnd w:id="25"/>
            <w:r>
              <w:rPr>
                <w:rFonts w:ascii="Times New Roman;Times;serif" w:hAnsi="Times New Roman;Times;serif"/>
                <w:b/>
                <w:color w:val="000000"/>
                <w:sz w:val="20"/>
              </w:rPr>
              <w:t>2.</w:t>
            </w:r>
          </w:p>
        </w:tc>
        <w:tc>
          <w:tcPr>
            <w:tcW w:w="5690" w:type="dxa"/>
            <w:tcBorders/>
            <w:vAlign w:val="center"/>
          </w:tcPr>
          <w:p>
            <w:pPr>
              <w:pStyle w:val="TableContents"/>
              <w:bidi w:val="0"/>
              <w:spacing w:before="0" w:after="0"/>
              <w:jc w:val="left"/>
              <w:rPr/>
            </w:pPr>
            <w:r>
              <w:rPr>
                <w:rFonts w:ascii="Times New Roman;Times;serif" w:hAnsi="Times New Roman;Times;serif"/>
                <w:b/>
                <w:color w:val="000000"/>
                <w:sz w:val="20"/>
              </w:rPr>
              <w:t xml:space="preserve">THE MERGER AND THE MERGER AGREEMENT </w:t>
            </w:r>
            <w:r>
              <w:rPr>
                <w:rFonts w:ascii="Times New Roman;Times;serif" w:hAnsi="Times New Roman;Times;serif"/>
                <w:b w:val="false"/>
                <w:color w:val="000000"/>
                <w:sz w:val="20"/>
              </w:rPr>
              <w:t xml:space="preserve">(See Page </w:t>
            </w:r>
            <w:hyperlink w:anchor="tTM">
              <w:r>
                <w:rPr>
                  <w:rStyle w:val="InternetLink"/>
                  <w:rFonts w:ascii="Times New Roman;Times;serif" w:hAnsi="Times New Roman;Times;serif"/>
                  <w:b w:val="false"/>
                  <w:color w:val="000080"/>
                  <w:sz w:val="20"/>
                </w:rPr>
                <w:t>31</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Merger Sub and Synaptics have entered into the Amended and Restated Agreement and Plan of Merger, dated October 1, 2026, which is attached as Annex A to this proxy statement. Upon the terms and subject to the conditions of the Merger Agreement, and in accordance with the DGCL, at the effective time, Merger Sub will merge with and into Synaptics, with Synaptics surviving the Merger as a wholly owned subsidiary of onsemi. In connection with the Merger, Synaptics common stock will be delisted from Nasdaq and deregistered under the Exchange Act.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 w:name="ny20081083x2_defm14a_107-summary_pg2"/>
        <w:bookmarkEnd w:id="2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pPr>
      <w:r>
        <w:rPr>
          <w:rFonts w:ascii="Times New Roman;Times;serif" w:hAnsi="Times New Roman;Times;serif"/>
          <w:color w:val="000000"/>
          <w:sz w:val="20"/>
          <w:bdr w:val="single" w:sz="8" w:space="12" w:color="000000"/>
        </w:rPr>
        <w:t xml:space="preserve">We encourage you to read the Merger Agreement carefully and in its entirety because it is the legal document that governs the Merger. For more information about the Merger Agreement, see “The Merger” beginning on page </w:t>
      </w:r>
      <w:hyperlink w:anchor="tTM">
        <w:r>
          <w:rPr>
            <w:rStyle w:val="InternetLink"/>
          </w:rPr>
          <w:t>31</w:t>
        </w:r>
      </w:hyperlink>
      <w:r>
        <w:rPr>
          <w:rFonts w:ascii="Times New Roman;Times;serif" w:hAnsi="Times New Roman;Times;serif"/>
          <w:color w:val="000000"/>
          <w:sz w:val="20"/>
          <w:bdr w:val="single" w:sz="8" w:space="12" w:color="000000"/>
        </w:rPr>
        <w:t xml:space="preserve"> and “The Merger Agreement” beginning on page </w:t>
      </w:r>
      <w:hyperlink w:anchor="tTMA">
        <w:r>
          <w:rPr>
            <w:rStyle w:val="InternetLink"/>
          </w:rPr>
          <w:t>83</w:t>
        </w:r>
      </w:hyperlink>
      <w:r>
        <w:rPr>
          <w:rFonts w:ascii="Times New Roman;Times;serif" w:hAnsi="Times New Roman;Times;serif"/>
          <w:color w:val="000000"/>
          <w:sz w:val="20"/>
          <w:bdr w:val="single" w:sz="8" w:space="12" w:color="000000"/>
        </w:rPr>
        <w:t xml:space="preserve"> of this proxy statement. </w:t>
      </w:r>
    </w:p>
    <w:tbl>
      <w:tblPr>
        <w:tblW w:w="3925" w:type="dxa"/>
        <w:jc w:val="left"/>
        <w:tblInd w:w="240" w:type="dxa"/>
        <w:tblLayout w:type="fixed"/>
        <w:tblCellMar>
          <w:top w:w="0" w:type="dxa"/>
          <w:left w:w="0" w:type="dxa"/>
          <w:bottom w:w="0" w:type="dxa"/>
          <w:right w:w="0" w:type="dxa"/>
        </w:tblCellMar>
      </w:tblPr>
      <w:tblGrid>
        <w:gridCol w:w="170"/>
        <w:gridCol w:w="375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7" w:name="tSUM3"/>
            <w:bookmarkEnd w:id="27"/>
            <w:r>
              <w:rPr>
                <w:rFonts w:ascii="Times New Roman;Times;serif" w:hAnsi="Times New Roman;Times;serif"/>
                <w:b/>
                <w:color w:val="000000"/>
                <w:sz w:val="20"/>
              </w:rPr>
              <w:t>3.</w:t>
            </w:r>
          </w:p>
        </w:tc>
        <w:tc>
          <w:tcPr>
            <w:tcW w:w="3755" w:type="dxa"/>
            <w:tcBorders/>
            <w:vAlign w:val="center"/>
          </w:tcPr>
          <w:p>
            <w:pPr>
              <w:pStyle w:val="TableContents"/>
              <w:bidi w:val="0"/>
              <w:spacing w:before="0" w:after="0"/>
              <w:jc w:val="left"/>
              <w:rPr/>
            </w:pPr>
            <w:r>
              <w:rPr>
                <w:rFonts w:ascii="Times New Roman;Times;serif" w:hAnsi="Times New Roman;Times;serif"/>
                <w:b/>
                <w:color w:val="000000"/>
                <w:sz w:val="20"/>
              </w:rPr>
              <w:t xml:space="preserve">MERGER CONSIDERATION </w:t>
            </w:r>
            <w:r>
              <w:rPr>
                <w:rFonts w:ascii="Times New Roman;Times;serif" w:hAnsi="Times New Roman;Times;serif"/>
                <w:b w:val="false"/>
                <w:color w:val="000000"/>
                <w:sz w:val="20"/>
              </w:rPr>
              <w:t xml:space="preserve">(See Page </w:t>
            </w:r>
            <w:hyperlink w:anchor="tMCMA">
              <w:r>
                <w:rPr>
                  <w:rStyle w:val="InternetLink"/>
                  <w:rFonts w:ascii="Times New Roman;Times;serif" w:hAnsi="Times New Roman;Times;serif"/>
                  <w:b w:val="false"/>
                  <w:color w:val="000080"/>
                  <w:sz w:val="20"/>
                </w:rPr>
                <w:t>32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Upon the terms and subject to the conditions of the Merger Agreement, at the effective time, each share of Synaptics common stock issued and outstanding immediately prior to the effective time (other than shares to be cancelled pursuant to the Merger Agreement, as well as shares issued and outstanding immediately prior to the effective time and held by a Synaptics stockholder who has not voted in favor of adoption of the Merger Agreement or consented thereto in writing and who has properly exercised and perfected their demand for appraisal of such shares in accordance with Section 262 of the DGCL (“dissenting shares”)) will be converted into the right to receive $123.00 per share in cash, without interest. For more information, see “The Merger—Merger Consideration” beginning on page </w:t>
      </w:r>
      <w:hyperlink w:anchor="tMCMA">
        <w:r>
          <w:rPr>
            <w:rStyle w:val="InternetLink"/>
          </w:rPr>
          <w:t>32</w:t>
        </w:r>
      </w:hyperlink>
      <w:r>
        <w:rPr>
          <w:rFonts w:ascii="Times New Roman;Times;serif" w:hAnsi="Times New Roman;Times;serif"/>
          <w:color w:val="000000"/>
          <w:sz w:val="20"/>
          <w:bdr w:val="single" w:sz="8" w:space="12" w:color="000000"/>
        </w:rPr>
        <w:t xml:space="preserve"> and “The Merger Agreement—Merger Consideration” beginning on page </w:t>
      </w:r>
      <w:hyperlink w:anchor="tMCA">
        <w:r>
          <w:rPr>
            <w:rStyle w:val="InternetLink"/>
          </w:rPr>
          <w:t>84</w:t>
        </w:r>
      </w:hyperlink>
      <w:r>
        <w:rPr>
          <w:rFonts w:ascii="Times New Roman;Times;serif" w:hAnsi="Times New Roman;Times;serif"/>
          <w:color w:val="000000"/>
          <w:sz w:val="20"/>
          <w:bdr w:val="single" w:sz="8" w:space="12" w:color="000000"/>
        </w:rPr>
        <w:t xml:space="preserve"> of this proxy statement. </w:t>
      </w:r>
    </w:p>
    <w:tbl>
      <w:tblPr>
        <w:tblW w:w="3790" w:type="dxa"/>
        <w:jc w:val="left"/>
        <w:tblInd w:w="240" w:type="dxa"/>
        <w:tblLayout w:type="fixed"/>
        <w:tblCellMar>
          <w:top w:w="0" w:type="dxa"/>
          <w:left w:w="0" w:type="dxa"/>
          <w:bottom w:w="0" w:type="dxa"/>
          <w:right w:w="0" w:type="dxa"/>
        </w:tblCellMar>
      </w:tblPr>
      <w:tblGrid>
        <w:gridCol w:w="170"/>
        <w:gridCol w:w="362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28" w:name="tSUM5"/>
            <w:bookmarkEnd w:id="28"/>
            <w:r>
              <w:rPr>
                <w:rFonts w:ascii="Times New Roman;Times;serif" w:hAnsi="Times New Roman;Times;serif"/>
                <w:b/>
                <w:color w:val="000000"/>
                <w:sz w:val="20"/>
              </w:rPr>
              <w:t>4.</w:t>
            </w:r>
          </w:p>
        </w:tc>
        <w:tc>
          <w:tcPr>
            <w:tcW w:w="3620"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EXPECTED TIMING OF THE MERGER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currently expect the Merger to be completed as soon as practicable after the satisfaction or waiver of all applicable closing conditions described under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 including, among others, the adoption of the Merger Agreement by the required vote of Synaptics stockholders, the expiration or termination of applicable waiting periods and the receipt of specified governmental authorizations under specified antitrust laws and specified foreign direct investment laws, and the absence of any law or order preventing, enjoining or making illegal the consummation of the Merger in specified jurisdictions.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For more information, see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and “The Merger Agreement—Termination of the Merger Agreement” beginning on page </w:t>
      </w:r>
      <w:hyperlink w:anchor="tATMA">
        <w:r>
          <w:rPr>
            <w:rStyle w:val="InternetLink"/>
          </w:rPr>
          <w:t>103</w:t>
        </w:r>
      </w:hyperlink>
      <w:r>
        <w:rPr>
          <w:rFonts w:ascii="Times New Roman;Times;serif" w:hAnsi="Times New Roman;Times;serif"/>
          <w:color w:val="000000"/>
          <w:sz w:val="20"/>
          <w:bdr w:val="single" w:sz="8" w:space="12" w:color="000000"/>
        </w:rPr>
        <w:t xml:space="preserve"> of this proxy statement. </w:t>
      </w:r>
    </w:p>
    <w:tbl>
      <w:tblPr>
        <w:tblW w:w="9965" w:type="dxa"/>
        <w:jc w:val="left"/>
        <w:tblInd w:w="240" w:type="dxa"/>
        <w:tblLayout w:type="fixed"/>
        <w:tblCellMar>
          <w:top w:w="0" w:type="dxa"/>
          <w:left w:w="0" w:type="dxa"/>
          <w:bottom w:w="0" w:type="dxa"/>
          <w:right w:w="0" w:type="dxa"/>
        </w:tblCellMar>
      </w:tblPr>
      <w:tblGrid>
        <w:gridCol w:w="168"/>
        <w:gridCol w:w="9797"/>
      </w:tblGrid>
      <w:tr>
        <w:trPr/>
        <w:tc>
          <w:tcPr>
            <w:tcW w:w="168" w:type="dxa"/>
            <w:tcBorders/>
            <w:vAlign w:val="center"/>
          </w:tcPr>
          <w:p>
            <w:pPr>
              <w:pStyle w:val="TableContents"/>
              <w:bidi w:val="0"/>
              <w:spacing w:before="0" w:after="0"/>
              <w:jc w:val="left"/>
              <w:rPr>
                <w:rFonts w:ascii="Times New Roman;Times;serif" w:hAnsi="Times New Roman;Times;serif"/>
                <w:b/>
                <w:color w:val="000000"/>
                <w:sz w:val="20"/>
              </w:rPr>
            </w:pPr>
            <w:bookmarkStart w:id="29" w:name="tSUM8"/>
            <w:bookmarkEnd w:id="29"/>
            <w:r>
              <w:rPr>
                <w:rFonts w:ascii="Times New Roman;Times;serif" w:hAnsi="Times New Roman;Times;serif"/>
                <w:b/>
                <w:color w:val="000000"/>
                <w:sz w:val="20"/>
              </w:rPr>
              <w:t>5.</w:t>
            </w:r>
          </w:p>
        </w:tc>
        <w:tc>
          <w:tcPr>
            <w:tcW w:w="9797" w:type="dxa"/>
            <w:tcBorders/>
            <w:vAlign w:val="center"/>
          </w:tcPr>
          <w:p>
            <w:pPr>
              <w:pStyle w:val="TableContents"/>
              <w:bidi w:val="0"/>
              <w:spacing w:before="0" w:after="0"/>
              <w:jc w:val="left"/>
              <w:rPr/>
            </w:pPr>
            <w:r>
              <w:rPr>
                <w:rFonts w:ascii="Times New Roman;Times;serif" w:hAnsi="Times New Roman;Times;serif"/>
                <w:b/>
                <w:color w:val="000000"/>
                <w:sz w:val="20"/>
              </w:rPr>
              <w:t xml:space="preserve">RECOMMENDATION OF SYNAPTICS’ BOARD OF DIRECTORS AND REASONS FOR THE MERGER </w:t>
            </w:r>
            <w:r>
              <w:rPr>
                <w:rFonts w:ascii="Times New Roman;Times;serif" w:hAnsi="Times New Roman;Times;serif"/>
                <w:b w:val="false"/>
                <w:color w:val="000000"/>
                <w:sz w:val="20"/>
              </w:rPr>
              <w:t xml:space="preserve">(See Page </w:t>
            </w:r>
            <w:hyperlink w:anchor="tROTS">
              <w:r>
                <w:rPr>
                  <w:rStyle w:val="InternetLink"/>
                  <w:rFonts w:ascii="Times New Roman;Times;serif" w:hAnsi="Times New Roman;Times;serif"/>
                  <w:b w:val="false"/>
                  <w:color w:val="000080"/>
                  <w:sz w:val="20"/>
                </w:rPr>
                <w:t>53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With the assistance of its financial and legal advisors, the Synaptics board evaluated the Merger Agreement and the transactions contemplated thereby, including the Merger. After careful consideration and based on the special committee’s recommendation, at a special joint meeting of the Synaptics board and the special committee held on September 29, 2026, the Synaptics board unanimously (a) authorized and approved the execution, delivery and, subject to the receipt of the required Synaptics stockholder vote, performance of the Merger Agreement, and the consummation of the transactions contemplated thereby; (b) determined that the Merger Agreement and the transactions contemplated thereby, including the Merger, are fair to and in the best interests of Synaptics and its stockholders; (c) approved and declared advisable the Merger Agreement, and the transactions contemplated thereby; and (d) subject to the terms and conditions of the Merger Agreement, directed that the Merger Agreement be submitted to a vote of Synaptics’ stockholders, made the Synaptics board recommendation, and resolved to include the Synaptics board recommendation in this proxy statement, subject to Synaptics’ and the Synaptics board’s rights and obligations regarding changes to the Synaptics board recommendation under the Merger Agreement in light of the Synaptics board’s fiduciary duties under applicable law.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For a summary of the factors considered by the Synaptics board, see “The Merger—Recommendation of the Synaptics Board of Directors and Reasons for the Merger” beginning on page </w:t>
      </w:r>
      <w:hyperlink w:anchor="tROTS">
        <w:r>
          <w:rPr>
            <w:rStyle w:val="InternetLink"/>
          </w:rPr>
          <w:t>53</w:t>
        </w:r>
      </w:hyperlink>
      <w:r>
        <w:rPr>
          <w:rFonts w:ascii="Times New Roman;Times;serif" w:hAnsi="Times New Roman;Times;serif"/>
          <w:color w:val="000000"/>
          <w:sz w:val="20"/>
          <w:bdr w:val="single" w:sz="8" w:space="12" w:color="000000"/>
        </w:rPr>
        <w:t xml:space="preserve"> of this proxy statement. </w:t>
      </w:r>
    </w:p>
    <w:tbl>
      <w:tblPr>
        <w:tblW w:w="9400" w:type="dxa"/>
        <w:jc w:val="left"/>
        <w:tblInd w:w="240" w:type="dxa"/>
        <w:tblLayout w:type="fixed"/>
        <w:tblCellMar>
          <w:top w:w="0" w:type="dxa"/>
          <w:left w:w="0" w:type="dxa"/>
          <w:bottom w:w="0" w:type="dxa"/>
          <w:right w:w="0" w:type="dxa"/>
        </w:tblCellMar>
      </w:tblPr>
      <w:tblGrid>
        <w:gridCol w:w="170"/>
        <w:gridCol w:w="923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0" w:name="tSUM9"/>
            <w:bookmarkEnd w:id="30"/>
            <w:r>
              <w:rPr>
                <w:rFonts w:ascii="Times New Roman;Times;serif" w:hAnsi="Times New Roman;Times;serif"/>
                <w:b/>
                <w:color w:val="000000"/>
                <w:sz w:val="20"/>
              </w:rPr>
              <w:t>6.</w:t>
            </w:r>
          </w:p>
        </w:tc>
        <w:tc>
          <w:tcPr>
            <w:tcW w:w="9230" w:type="dxa"/>
            <w:tcBorders/>
            <w:vAlign w:val="center"/>
          </w:tcPr>
          <w:p>
            <w:pPr>
              <w:pStyle w:val="TableContents"/>
              <w:bidi w:val="0"/>
              <w:spacing w:before="0" w:after="0"/>
              <w:jc w:val="left"/>
              <w:rPr/>
            </w:pPr>
            <w:r>
              <w:rPr>
                <w:rFonts w:ascii="Times New Roman;Times;serif" w:hAnsi="Times New Roman;Times;serif"/>
                <w:b/>
                <w:color w:val="000000"/>
                <w:sz w:val="20"/>
              </w:rPr>
              <w:t xml:space="preserve">OPINION OF QATALYST PARTNERS LP, SYNAPTICS’ FINANCIAL ADVISOR </w:t>
            </w:r>
            <w:r>
              <w:rPr>
                <w:rFonts w:ascii="Times New Roman;Times;serif" w:hAnsi="Times New Roman;Times;serif"/>
                <w:b w:val="false"/>
                <w:color w:val="000000"/>
                <w:sz w:val="20"/>
              </w:rPr>
              <w:t xml:space="preserve">(See Page </w:t>
            </w:r>
            <w:hyperlink w:anchor="tOOQP">
              <w:r>
                <w:rPr>
                  <w:rStyle w:val="InternetLink"/>
                  <w:rFonts w:ascii="Times New Roman;Times;serif" w:hAnsi="Times New Roman;Times;serif"/>
                  <w:b w:val="false"/>
                  <w:color w:val="000080"/>
                  <w:sz w:val="20"/>
                </w:rPr>
                <w:t>64</w:t>
              </w:r>
            </w:hyperlink>
            <w:r>
              <w:rPr>
                <w:rFonts w:ascii="Times New Roman;Times;serif" w:hAnsi="Times New Roman;Times;serif"/>
                <w:b w:val="false"/>
                <w:color w:val="000000"/>
                <w:sz w:val="20"/>
              </w:rPr>
              <w:t xml:space="preserve"> and Annex B)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retained Qatalyst Partners to act as its financial advisor in connection with a potential transaction such as the Merger and to evaluate whether the Merger Consideration to be received pursuant to, and in accordance with, the terms of the Merger Agreement by Synaptics stockholders (other than onsemi or any affiliate of onsemi), was fair, from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 w:name="ny20081083x2_defm14a_107-summary_pg3"/>
        <w:bookmarkEnd w:id="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 At the meeting of the Synaptics board on September 29, 2026, Qatalyst Partners rendered to the Synaptics board its oral opinion, which was confirmed by delivery of a written opinion dated September 29, 2026, to the effect that, based upon and subject to the various assumptions, qualifications, limitations and other matters set forth therein, as of the date thereof, the Merger Consideration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The full text of Qatalyst Partners’ written opinion, dated September 29, 2026, is attached to this proxy statement as Annex B and is incorporated by reference herein. The opinion sets forth, among other things, the assumptions made, procedures followed, matters considered and limitations and qualifications of the review undertaken by Qatalyst Partners in rendering its opinion. Synaptics stockholders should read the opinion carefully in its entirety. Qatalyst Partners’ opinion was provided to the Synaptics board and addresses only, as of the date of the opinion, the fairness, from a financial point of view, of the Merger Consideration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should vote with respect to the Merger or any other matter and does not in any manner address the price at which shares of Synaptics common stock will trade or otherwise be transferable at any time. The summary of Qatalyst Partners’ opinion set forth herein is qualified in its entirety by reference to the full text of the opinion, which is attached to this proxy statement as Annex B. </w:t>
      </w:r>
    </w:p>
    <w:tbl>
      <w:tblPr>
        <w:tblW w:w="6355" w:type="dxa"/>
        <w:jc w:val="left"/>
        <w:tblInd w:w="240" w:type="dxa"/>
        <w:tblLayout w:type="fixed"/>
        <w:tblCellMar>
          <w:top w:w="0" w:type="dxa"/>
          <w:left w:w="0" w:type="dxa"/>
          <w:bottom w:w="0" w:type="dxa"/>
          <w:right w:w="0" w:type="dxa"/>
        </w:tblCellMar>
      </w:tblPr>
      <w:tblGrid>
        <w:gridCol w:w="170"/>
        <w:gridCol w:w="618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2" w:name="tSUM10"/>
            <w:bookmarkEnd w:id="32"/>
            <w:r>
              <w:rPr>
                <w:rFonts w:ascii="Times New Roman;Times;serif" w:hAnsi="Times New Roman;Times;serif"/>
                <w:b/>
                <w:color w:val="000000"/>
                <w:sz w:val="20"/>
              </w:rPr>
              <w:t>7.</w:t>
            </w:r>
          </w:p>
        </w:tc>
        <w:tc>
          <w:tcPr>
            <w:tcW w:w="6185" w:type="dxa"/>
            <w:tcBorders/>
            <w:vAlign w:val="center"/>
          </w:tcPr>
          <w:p>
            <w:pPr>
              <w:pStyle w:val="TableContents"/>
              <w:bidi w:val="0"/>
              <w:spacing w:before="0" w:after="0"/>
              <w:jc w:val="left"/>
              <w:rPr/>
            </w:pPr>
            <w:r>
              <w:rPr>
                <w:rFonts w:ascii="Times New Roman;Times;serif" w:hAnsi="Times New Roman;Times;serif"/>
                <w:b/>
                <w:color w:val="000000"/>
                <w:sz w:val="20"/>
              </w:rPr>
              <w:t xml:space="preserve">SPECIAL MEETING OF SYNAPTICS STOCKHOLDERS </w:t>
            </w:r>
            <w:r>
              <w:rPr>
                <w:rFonts w:ascii="Times New Roman;Times;serif" w:hAnsi="Times New Roman;Times;serif"/>
                <w:b w:val="false"/>
                <w:color w:val="000000"/>
                <w:sz w:val="20"/>
              </w:rPr>
              <w:t xml:space="preserve">(See Page </w:t>
            </w:r>
            <w:hyperlink w:anchor="tASMS">
              <w:r>
                <w:rPr>
                  <w:rStyle w:val="InternetLink"/>
                  <w:rFonts w:ascii="Times New Roman;Times;serif" w:hAnsi="Times New Roman;Times;serif"/>
                  <w:b w:val="false"/>
                  <w:color w:val="000080"/>
                  <w:sz w:val="20"/>
                </w:rPr>
                <w:t>92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Date, Time and Place of the Special Meeting.</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will be a virtual meeting conducted exclusively via live webcast online at www.virtualshareholdermeeting.com/SYNA2026SM at 9:00 a.m., Pacific Time (with log-in beginning at 8:45 a.m., Pacific Time) on November 17,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Purposes of the Special Meeting</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Special Meeting is being held to consider and vote upon the following proposals: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i/>
                <w:color w:val="000000"/>
                <w:sz w:val="20"/>
              </w:rPr>
              <w:t>:</w:t>
            </w:r>
            <w:r>
              <w:rPr>
                <w:rFonts w:ascii="Times New Roman;Times;serif" w:hAnsi="Times New Roman;Times;serif"/>
                <w:color w:val="000000"/>
                <w:sz w:val="20"/>
              </w:rPr>
              <w:t xml:space="preserve"> to adopt the Merger Agreement, a copy of which is attached as Annex A to this proxy statement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of this proxy statement,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$123.00 per share in cash, without interest.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i/>
                <w:color w:val="000000"/>
                <w:sz w:val="20"/>
              </w:rPr>
              <w:t>:</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 xml:space="preserve">: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w:t>
            </w:r>
            <w:r>
              <w:rPr>
                <w:rFonts w:ascii="Times New Roman;Times;serif" w:hAnsi="Times New Roman;Times;serif"/>
                <w:b/>
                <w:color w:val="000000"/>
                <w:sz w:val="20"/>
              </w:rPr>
              <w:t>statement is timely provided to Synaptics stockholders.</w:t>
            </w:r>
            <w:r>
              <w:rPr>
                <w:rFonts w:ascii="Times New Roman;Times;serif" w:hAnsi="Times New Roman;Times;serif"/>
                <w:color w:val="000000"/>
                <w:sz w:val="20"/>
              </w:rPr>
              <w:t xml:space="preserve"> </w:t>
            </w:r>
          </w:p>
        </w:tc>
      </w:tr>
    </w:tbl>
    <w:p>
      <w:pPr>
        <w:pStyle w:val="TextBody"/>
        <w:bidi w:val="0"/>
        <w:spacing w:before="120"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Record Date</w:t>
      </w:r>
      <w:r>
        <w:rPr>
          <w:rFonts w:ascii="Times New Roman;Times;serif" w:hAnsi="Times New Roman;Times;serif"/>
          <w:b w:val="false"/>
          <w:i/>
          <w:color w:val="000000"/>
          <w:sz w:val="20"/>
          <w:bdr w:val="single" w:sz="8" w:space="12" w:color="000000"/>
        </w:rPr>
        <w:t>.</w:t>
      </w:r>
      <w:r>
        <w:rPr>
          <w:rFonts w:ascii="Times New Roman;Times;serif" w:hAnsi="Times New Roman;Times;serif"/>
          <w:b/>
          <w:i/>
          <w:caps w:val="false"/>
          <w:smallCaps w:val="false"/>
          <w:color w:val="000000"/>
          <w:sz w:val="20"/>
          <w:bdr w:val="single" w:sz="8" w:space="12" w:color="000000"/>
        </w:rPr>
        <w:t xml:space="preserve"> </w:t>
      </w:r>
      <w:r>
        <w:rPr>
          <w:rFonts w:ascii="Times New Roman;Times;serif" w:hAnsi="Times New Roman;Times;serif"/>
          <w:b w:val="false"/>
          <w:i w:val="false"/>
          <w:caps w:val="false"/>
          <w:smallCaps w:val="false"/>
          <w:color w:val="000000"/>
          <w:sz w:val="20"/>
          <w:bdr w:val="single" w:sz="8" w:space="12" w:color="000000"/>
        </w:rPr>
        <w:t xml:space="preserve">The Synaptics board has fixed the close of business on October 13, 2026, as the Record Date for the determination of the Synaptics stockholders entitled to receive notice of, and to vote at, the Special Meeting. The Synaptics stockholders of record on the Record Date are the only Synaptics stockholders that are entitled to receive notice of, and to vote at, the Special Meeting or any adjournments or postponements of the Special Meeting.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 w:name="ny20081083x2_defm14a_107-summary_pg4"/>
        <w:bookmarkEnd w:id="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 xml:space="preserve">Quorum; Abstentions and Broker Non-Votes. </w:t>
      </w:r>
      <w:r>
        <w:rPr>
          <w:rFonts w:ascii="Times New Roman;Times;serif" w:hAnsi="Times New Roman;Times;serif"/>
          <w:b w:val="false"/>
          <w:i w:val="false"/>
          <w:caps w:val="false"/>
          <w:smallCaps w:val="false"/>
          <w:color w:val="000000"/>
          <w:sz w:val="20"/>
          <w:bdr w:val="single" w:sz="8" w:space="12" w:color="00000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“non-routine” matters. Accordingly, if banks, brokers, nominees, trustees, or other record holders do not receive 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160" w:after="240"/>
        <w:ind w:left="640" w:right="0" w:hanging="0"/>
        <w:jc w:val="left"/>
        <w:rPr>
          <w:rFonts w:ascii="Times New Roman;Times;serif" w:hAnsi="Times New Roman;Times;serif"/>
          <w:b/>
          <w:i/>
          <w:color w:val="000000"/>
          <w:sz w:val="20"/>
          <w:bdr w:val="single" w:sz="8" w:space="12" w:color="000000"/>
        </w:rPr>
      </w:pPr>
      <w:bookmarkStart w:id="34" w:name="tVR1"/>
      <w:bookmarkEnd w:id="34"/>
      <w:r>
        <w:rPr>
          <w:rFonts w:ascii="Times New Roman;Times;serif" w:hAnsi="Times New Roman;Times;serif"/>
          <w:b/>
          <w:i/>
          <w:color w:val="000000"/>
          <w:sz w:val="20"/>
          <w:bdr w:val="single" w:sz="8" w:space="12" w:color="000000"/>
        </w:rPr>
        <w:t xml:space="preserve">Vote Required. </w:t>
      </w:r>
      <w:r>
        <w:rPr>
          <w:rFonts w:ascii="Times New Roman;Times;serif" w:hAnsi="Times New Roman;Times;serif"/>
          <w:b w:val="false"/>
          <w:i w:val="false"/>
          <w:caps w:val="false"/>
          <w:smallCaps w:val="false"/>
          <w:color w:val="000000"/>
          <w:sz w:val="20"/>
          <w:bdr w:val="single" w:sz="8" w:space="12" w:color="000000"/>
        </w:rPr>
        <w:t xml:space="preserve">The votes required for each proposal are as follows: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i/>
                <w:color w:val="000000"/>
                <w:sz w:val="20"/>
              </w:rPr>
              <w:t>.</w:t>
            </w:r>
            <w:r>
              <w:rPr>
                <w:rFonts w:ascii="Times New Roman;Times;serif" w:hAnsi="Times New Roman;Times;serif"/>
                <w:color w:val="000000"/>
                <w:sz w:val="20"/>
              </w:rPr>
              <w:t xml:space="preserve"> If a quorum is present, the affirmative vote of the holders of a majority of the votes cast on such matter, voting in favor of or against such matter (excluding abstentions and 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 w:name="ny20081083x2_defm14a_107-summary_pg5"/>
        <w:bookmarkEnd w:id="3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b/>
          <w:i/>
          <w:color w:val="000000"/>
          <w:sz w:val="20"/>
          <w:bdr w:val="single" w:sz="8" w:space="12" w:color="000000"/>
        </w:rPr>
      </w:pPr>
      <w:r>
        <w:rPr>
          <w:rFonts w:ascii="Times New Roman;Times;serif" w:hAnsi="Times New Roman;Times;serif"/>
          <w:b/>
          <w:i/>
          <w:color w:val="000000"/>
          <w:sz w:val="20"/>
          <w:bdr w:val="single" w:sz="8" w:space="12" w:color="000000"/>
        </w:rPr>
        <w:t>Share Ownership; Voting by Synaptics’s Directors and Executive Officers</w:t>
      </w:r>
      <w:r>
        <w:rPr>
          <w:rFonts w:ascii="Times New Roman;Times;serif" w:hAnsi="Times New Roman;Times;serif"/>
          <w:b w:val="false"/>
          <w:i w:val="false"/>
          <w:caps w:val="false"/>
          <w:smallCaps w:val="false"/>
          <w:color w:val="000000"/>
          <w:sz w:val="20"/>
          <w:bdr w:val="single" w:sz="8" w:space="12" w:color="000000"/>
        </w:rPr>
        <w:t xml:space="preserve">. At the close of business on October 13, 2026, Synaptics’ directors and executive officers had the right to vote approximately 259,726 shares of the then outstanding Synaptics common stock, collectively representing approximately 0.65% of the Synaptics common stock outstanding and entitled to vote on that date. All such directors and executive officers are expected to vote in favor of each of the proposals at the Special Meeting. </w:t>
      </w:r>
    </w:p>
    <w:tbl>
      <w:tblPr>
        <w:tblW w:w="9565" w:type="dxa"/>
        <w:jc w:val="left"/>
        <w:tblInd w:w="240" w:type="dxa"/>
        <w:tblLayout w:type="fixed"/>
        <w:tblCellMar>
          <w:top w:w="0" w:type="dxa"/>
          <w:left w:w="0" w:type="dxa"/>
          <w:bottom w:w="0" w:type="dxa"/>
          <w:right w:w="0" w:type="dxa"/>
        </w:tblCellMar>
      </w:tblPr>
      <w:tblGrid>
        <w:gridCol w:w="170"/>
        <w:gridCol w:w="9395"/>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6" w:name="tSUM12"/>
            <w:bookmarkEnd w:id="36"/>
            <w:r>
              <w:rPr>
                <w:rFonts w:ascii="Times New Roman;Times;serif" w:hAnsi="Times New Roman;Times;serif"/>
                <w:b/>
                <w:color w:val="000000"/>
                <w:sz w:val="20"/>
              </w:rPr>
              <w:t>8.</w:t>
            </w:r>
          </w:p>
        </w:tc>
        <w:tc>
          <w:tcPr>
            <w:tcW w:w="9395" w:type="dxa"/>
            <w:tcBorders/>
            <w:vAlign w:val="center"/>
          </w:tcPr>
          <w:p>
            <w:pPr>
              <w:pStyle w:val="TableContents"/>
              <w:bidi w:val="0"/>
              <w:spacing w:before="0" w:after="0"/>
              <w:jc w:val="left"/>
              <w:rPr/>
            </w:pPr>
            <w:r>
              <w:rPr>
                <w:rFonts w:ascii="Times New Roman;Times;serif" w:hAnsi="Times New Roman;Times;serif"/>
                <w:b/>
                <w:color w:val="000000"/>
                <w:sz w:val="20"/>
              </w:rPr>
              <w:t xml:space="preserve">INTERESTS OF SYNAPTICS’ DIRECTORS AND EXECUTIVE OFFICERS IN THE MERGER </w:t>
            </w:r>
            <w:r>
              <w:rPr>
                <w:rFonts w:ascii="Times New Roman;Times;serif" w:hAnsi="Times New Roman;Times;serif"/>
                <w:b w:val="false"/>
                <w:color w:val="000000"/>
                <w:sz w:val="20"/>
              </w:rPr>
              <w:t xml:space="preserve">(See Page </w:t>
            </w:r>
            <w:hyperlink w:anchor="tIOS">
              <w:r>
                <w:rPr>
                  <w:rStyle w:val="InternetLink"/>
                  <w:rFonts w:ascii="Times New Roman;Times;serif" w:hAnsi="Times New Roman;Times;serif"/>
                  <w:b w:val="false"/>
                  <w:color w:val="000080"/>
                  <w:sz w:val="20"/>
                </w:rPr>
                <w:t>109</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Certain directors and executive officers of Synaptics have interests in the Merger that are different from, or in addition to, those of Synaptics stockholders generally. These interests include, among others, the treatment of outstanding equity awards in connection with the Merger, potential severance payments, benefits and equity acceleration under individual severance agreements and equity award agreements with certain Synaptics executive officers; payment of prorated annual cash incentive bonuses for the fiscal year in which the effective time occurs; and continued indemnification and directors’ and officers’ liability insurance. The Synaptics board was aware of and considered these interests, among other matters, in evaluating and negotiating the Merger Agreement and the Merger, in approving the Merger Agreement, and in recommending that Synaptics stockholders approve the Merger Proposal, the Advisory Compensation Proposal, and the Adjournment Proposal. See the section titled “Interests of Synaptics’s Directors and Executive Officers in the Merger” beginning on page </w:t>
      </w:r>
      <w:hyperlink w:anchor="tSUM12">
        <w:r>
          <w:rPr>
            <w:rStyle w:val="InternetLink"/>
          </w:rPr>
          <w:t>14</w:t>
        </w:r>
      </w:hyperlink>
      <w:r>
        <w:rPr>
          <w:rFonts w:ascii="Times New Roman;Times;serif" w:hAnsi="Times New Roman;Times;serif"/>
          <w:color w:val="000000"/>
          <w:sz w:val="20"/>
          <w:bdr w:val="single" w:sz="8" w:space="12" w:color="000000"/>
        </w:rPr>
        <w:t xml:space="preserve"> of this proxy statement for a more detailed description of these interests. </w:t>
      </w:r>
    </w:p>
    <w:tbl>
      <w:tblPr>
        <w:tblW w:w="4420" w:type="dxa"/>
        <w:jc w:val="left"/>
        <w:tblInd w:w="240" w:type="dxa"/>
        <w:tblLayout w:type="fixed"/>
        <w:tblCellMar>
          <w:top w:w="0" w:type="dxa"/>
          <w:left w:w="0" w:type="dxa"/>
          <w:bottom w:w="0" w:type="dxa"/>
          <w:right w:w="0" w:type="dxa"/>
        </w:tblCellMar>
      </w:tblPr>
      <w:tblGrid>
        <w:gridCol w:w="170"/>
        <w:gridCol w:w="4250"/>
      </w:tblGrid>
      <w:tr>
        <w:trPr/>
        <w:tc>
          <w:tcPr>
            <w:tcW w:w="170" w:type="dxa"/>
            <w:tcBorders/>
            <w:vAlign w:val="center"/>
          </w:tcPr>
          <w:p>
            <w:pPr>
              <w:pStyle w:val="TableContents"/>
              <w:bidi w:val="0"/>
              <w:spacing w:before="0" w:after="0"/>
              <w:jc w:val="left"/>
              <w:rPr>
                <w:rFonts w:ascii="Times New Roman;Times;serif" w:hAnsi="Times New Roman;Times;serif"/>
                <w:b/>
                <w:color w:val="000000"/>
                <w:sz w:val="20"/>
              </w:rPr>
            </w:pPr>
            <w:bookmarkStart w:id="37" w:name="tSUM13"/>
            <w:bookmarkEnd w:id="37"/>
            <w:r>
              <w:rPr>
                <w:rFonts w:ascii="Times New Roman;Times;serif" w:hAnsi="Times New Roman;Times;serif"/>
                <w:b/>
                <w:color w:val="000000"/>
                <w:sz w:val="20"/>
              </w:rPr>
              <w:t>9.</w:t>
            </w:r>
          </w:p>
        </w:tc>
        <w:tc>
          <w:tcPr>
            <w:tcW w:w="4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CONDITIONS TO THE MERGER </w:t>
            </w:r>
            <w:r>
              <w:rPr>
                <w:rFonts w:ascii="Times New Roman;Times;serif" w:hAnsi="Times New Roman;Times;serif"/>
                <w:b w:val="false"/>
                <w:color w:val="000000"/>
                <w:sz w:val="20"/>
              </w:rPr>
              <w:t xml:space="preserve">(See Page </w:t>
            </w:r>
            <w:hyperlink w:anchor="tC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subject to the satisfaction or waiver (to the extent permitted by applicable law) of a number of conditions at or prior to the closing. The mutual conditions to each party’s obligation to complete the Merger include: </w:t>
      </w:r>
    </w:p>
    <w:tbl>
      <w:tblPr>
        <w:tblW w:w="7150" w:type="dxa"/>
        <w:jc w:val="left"/>
        <w:tblInd w:w="240" w:type="dxa"/>
        <w:tblLayout w:type="fixed"/>
        <w:tblCellMar>
          <w:top w:w="0" w:type="dxa"/>
          <w:left w:w="0" w:type="dxa"/>
          <w:bottom w:w="0" w:type="dxa"/>
          <w:right w:w="0" w:type="dxa"/>
        </w:tblCellMar>
      </w:tblPr>
      <w:tblGrid>
        <w:gridCol w:w="110"/>
        <w:gridCol w:w="7040"/>
      </w:tblGrid>
      <w:tr>
        <w:trPr/>
        <w:tc>
          <w:tcPr>
            <w:tcW w:w="110" w:type="dxa"/>
            <w:tcBorders/>
            <w:vAlign w:val="center"/>
          </w:tcPr>
          <w:p>
            <w:pPr>
              <w:pStyle w:val="TableContents"/>
              <w:bidi w:val="0"/>
              <w:spacing w:before="0" w:after="0"/>
              <w:jc w:val="left"/>
              <w:rPr>
                <w:color w:val="000000"/>
              </w:rPr>
            </w:pPr>
            <w:r>
              <w:rPr>
                <w:color w:val="000000"/>
              </w:rPr>
              <w:t>•</w:t>
            </w:r>
          </w:p>
        </w:tc>
        <w:tc>
          <w:tcPr>
            <w:tcW w:w="70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receipt of the required Synaptics stockholder vote to adopt the Merger Agreement;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applicable waiting periods, and the receipt of specified governmental authorizations, under applicable antitrust laws and specified foreign direct investment laws;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preventing, enjoining or making illegal the consummation of the Merger in specified jurisdictions.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obligations of each party are also subject to additional conditions, including the accuracy of the other party’s representations and warranties (subject to certain materiality thresholds as specified in the Merger Agreement), the performance of the other party’s covenants in all material respects, and the absence, since the date of the Merger Agreement, of a Company Material Adverse Effect (as defined in the Merger Agreement and described beginning on page </w:t>
      </w:r>
      <w:hyperlink w:anchor="tMDE1">
        <w:r>
          <w:rPr>
            <w:rStyle w:val="InternetLink"/>
          </w:rPr>
          <w:t>89</w:t>
        </w:r>
      </w:hyperlink>
      <w:r>
        <w:rPr>
          <w:rFonts w:ascii="Times New Roman;Times;serif" w:hAnsi="Times New Roman;Times;serif"/>
          <w:color w:val="000000"/>
          <w:sz w:val="20"/>
          <w:bdr w:val="single" w:sz="8" w:space="12" w:color="000000"/>
        </w:rPr>
        <w:t xml:space="preserve"> of this proxy statement in the section “The Merger Agreement—Material Adverse Effect”) that is continuing, and receipt of an officer’s certificate as to the satisfaction of those conditions.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Neither onsemi nor Synaptics can give any assurance as to when or whether all of the conditions to the Merger will be satisfied or waived or that the Merger will be completed. For more information, see “The Merger—Conditions to the Merger” beginning on page </w:t>
      </w:r>
      <w:hyperlink w:anchor="tCTT1">
        <w:r>
          <w:rPr>
            <w:rStyle w:val="InternetLink"/>
          </w:rPr>
          <w:t>72</w:t>
        </w:r>
      </w:hyperlink>
      <w:r>
        <w:rPr>
          <w:rFonts w:ascii="Times New Roman;Times;serif" w:hAnsi="Times New Roman;Times;serif"/>
          <w:color w:val="000000"/>
          <w:sz w:val="20"/>
          <w:bdr w:val="single" w:sz="8" w:space="12" w:color="000000"/>
        </w:rPr>
        <w:t xml:space="preserve"> and “The Merger Agreement—Conditions to the Merger”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 </w:t>
      </w:r>
    </w:p>
    <w:tbl>
      <w:tblPr>
        <w:tblW w:w="6985" w:type="dxa"/>
        <w:jc w:val="left"/>
        <w:tblInd w:w="240" w:type="dxa"/>
        <w:tblLayout w:type="fixed"/>
        <w:tblCellMar>
          <w:top w:w="0" w:type="dxa"/>
          <w:left w:w="0" w:type="dxa"/>
          <w:bottom w:w="0" w:type="dxa"/>
          <w:right w:w="0" w:type="dxa"/>
        </w:tblCellMar>
      </w:tblPr>
      <w:tblGrid>
        <w:gridCol w:w="275"/>
        <w:gridCol w:w="67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38" w:name="tSUM14"/>
            <w:bookmarkEnd w:id="38"/>
            <w:r>
              <w:rPr>
                <w:rFonts w:ascii="Times New Roman;Times;serif" w:hAnsi="Times New Roman;Times;serif"/>
                <w:b/>
                <w:color w:val="000000"/>
                <w:sz w:val="20"/>
              </w:rPr>
              <w:t>10.</w:t>
            </w:r>
          </w:p>
        </w:tc>
        <w:tc>
          <w:tcPr>
            <w:tcW w:w="6710" w:type="dxa"/>
            <w:tcBorders/>
            <w:vAlign w:val="center"/>
          </w:tcPr>
          <w:p>
            <w:pPr>
              <w:pStyle w:val="TableContents"/>
              <w:bidi w:val="0"/>
              <w:spacing w:before="0" w:after="0"/>
              <w:jc w:val="left"/>
              <w:rPr/>
            </w:pPr>
            <w:r>
              <w:rPr>
                <w:rFonts w:ascii="Times New Roman;Times;serif" w:hAnsi="Times New Roman;Times;serif"/>
                <w:b/>
                <w:color w:val="000000"/>
                <w:sz w:val="20"/>
              </w:rPr>
              <w:t xml:space="preserve">REGULATORY APPROVALS REQUIRED FOR THE MERGER </w:t>
            </w:r>
            <w:r>
              <w:rPr>
                <w:rFonts w:ascii="Times New Roman;Times;serif" w:hAnsi="Times New Roman;Times;serif"/>
                <w:b w:val="false"/>
                <w:color w:val="000000"/>
                <w:sz w:val="20"/>
              </w:rPr>
              <w:t xml:space="preserve">(See Page </w:t>
            </w:r>
            <w:hyperlink w:anchor="tRARM">
              <w:r>
                <w:rPr>
                  <w:rStyle w:val="InternetLink"/>
                  <w:rFonts w:ascii="Times New Roman;Times;serif" w:hAnsi="Times New Roman;Times;serif"/>
                  <w:b w:val="false"/>
                  <w:color w:val="000080"/>
                  <w:sz w:val="20"/>
                </w:rPr>
                <w:t>72</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onsemi and Synaptics have determined as of the date of this proxy statement to make merger notifications pursuant to applicable antitrust laws with the appropriate regulators, including in China, Hungary, Japan, South Korea, Taiwan, and the United States (collectively, the “Specified Antitrust Jurisdictions”) and may also make, or become required to make, merger notifications in additional jurisdictions—in certain cases voluntarily or at onsemi’s discretion, and in others only if a regulator asserts jurisdiction over or requests a filing with respect to the Merger (in which case, such other jurisdictions may also be deemed to be Specified Antitrust Jurisdictions), as described in the section titled “Regulatory Efforts Required for the Merger” beginning on page </w:t>
      </w:r>
      <w:hyperlink w:anchor="tRARM">
        <w:r>
          <w:rPr>
            <w:rStyle w:val="InternetLink"/>
          </w:rPr>
          <w:t>72</w:t>
        </w:r>
      </w:hyperlink>
      <w:r>
        <w:rPr>
          <w:rFonts w:ascii="Times New Roman;Times;serif" w:hAnsi="Times New Roman;Times;serif"/>
          <w:color w:val="000000"/>
          <w:sz w:val="20"/>
          <w:bdr w:val="single" w:sz="8" w:space="12" w:color="000000"/>
        </w:rPr>
        <w:t xml:space="preserve"> of this proxy. The parties have also determined as of the date of this proxy statement to make notifications pursuant to specified foreign direct investment laws with the appropriate regulators in France and the United Kingdom (collectively, the “Specified Foreign Investment Jurisdictions” and, together with the Specified Antitrust Jurisdictions, the “Specified Jurisdictions”).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9" w:name="ny20081083x2_defm14a_107-summary_pg6"/>
        <w:bookmarkEnd w:id="3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Completion of the Merger is conditioned upon the expiration or early termination of the waiting period (and any extension thereof or agreement with any Governmental Entity (as defined in the Merger Agreement) to delay the consummation of, or not to consummate before a certain date, the transactions contemplated by the Merger Agreement) under the HSR Act. The parties’ HSR notifications were filed with the FTC and DOJ on July 17, 2026. On August 12, 2026, the parties received notice that early termination of the waiting period under the HSR Act was granted by the FTC, effective as of August 12, 2026.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any Governmental Entity pursuant to any antitrust law with respect to the Merger and any other transactions contemplated by the Merger Agreement.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divestiture,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These requirements and the regulatory approvals required for completion of the Merger are described in more detail under the section titled “Regulatory Efforts Required for the Merger” beginning on Page </w:t>
      </w:r>
      <w:hyperlink w:anchor="tRARM">
        <w:r>
          <w:rPr>
            <w:rStyle w:val="InternetLink"/>
          </w:rPr>
          <w:t>72</w:t>
        </w:r>
      </w:hyperlink>
      <w:r>
        <w:rPr>
          <w:rFonts w:ascii="Times New Roman;Times;serif" w:hAnsi="Times New Roman;Times;serif"/>
          <w:color w:val="000000"/>
          <w:sz w:val="20"/>
          <w:bdr w:val="single" w:sz="8" w:space="12" w:color="000000"/>
        </w:rPr>
        <w:t xml:space="preserve"> of this proxy statement. </w:t>
      </w:r>
    </w:p>
    <w:tbl>
      <w:tblPr>
        <w:tblW w:w="6070" w:type="dxa"/>
        <w:jc w:val="left"/>
        <w:tblInd w:w="240" w:type="dxa"/>
        <w:tblLayout w:type="fixed"/>
        <w:tblCellMar>
          <w:top w:w="0" w:type="dxa"/>
          <w:left w:w="0" w:type="dxa"/>
          <w:bottom w:w="0" w:type="dxa"/>
          <w:right w:w="0" w:type="dxa"/>
        </w:tblCellMar>
      </w:tblPr>
      <w:tblGrid>
        <w:gridCol w:w="275"/>
        <w:gridCol w:w="579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0" w:name="tSUM15"/>
            <w:bookmarkEnd w:id="40"/>
            <w:r>
              <w:rPr>
                <w:rFonts w:ascii="Times New Roman;Times;serif" w:hAnsi="Times New Roman;Times;serif"/>
                <w:b/>
                <w:color w:val="000000"/>
                <w:sz w:val="20"/>
              </w:rPr>
              <w:t>11.</w:t>
            </w:r>
          </w:p>
        </w:tc>
        <w:tc>
          <w:tcPr>
            <w:tcW w:w="5795"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OF THE MERGER AGREEMENT </w:t>
            </w:r>
            <w:r>
              <w:rPr>
                <w:rFonts w:ascii="Times New Roman;Times;serif" w:hAnsi="Times New Roman;Times;serif"/>
                <w:b w:val="false"/>
                <w:color w:val="000000"/>
                <w:sz w:val="20"/>
              </w:rPr>
              <w:t xml:space="preserve">(See Page </w:t>
            </w:r>
            <w:hyperlink w:anchor="tAT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terminated and the Merger abandoned at any time prior to the effective time in the following circumstances: </w:t>
      </w:r>
    </w:p>
    <w:tbl>
      <w:tblPr>
        <w:tblW w:w="4375" w:type="dxa"/>
        <w:jc w:val="left"/>
        <w:tblInd w:w="24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completed by 11:59 p.m., Pacific time, on June 25, 2027, the End Date, subject to automatic three-month extensions, up to three times, if, as of the then-current End Date, only the antitrust or foreign direct investment-related conditions (or a related legal restraint) remain unsatisfied and all other closing conditions have been satisfied or waived), unless the terminating party’s material breach was the primary cause of the failure to close by the End Date;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Merger have become final and non-appealable, so long as the terminating party has used reasonable best efforts to prevent and remove such restraint and the terminating party’s material breach was not the primary cause of such restraint;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prior to obtaining the required Synaptics stockholder vote, if the Synaptics board has made a Synaptics Change in Recommendation or failed to include its recommendation in this proxy statement;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prior to obtaining the required Synaptics stockholder vote, in order to enter into a definitive agreement providing for a superior proposal, subject to specified conditions (including payment of the Synaptics termination fee);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required Synaptics stockholder vote is not obtained at the Special Meeting (including any adjournments and postponements thereof); and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other party breaches its representations, warranties or covenants such that the related closing condition would not be satisfied, subject to a 30-day cure period for curable breaches, so long as the terminating party is not itself then in breach in a manner that would cause the corresponding closing condition of the other party to fail. </w:t>
            </w:r>
          </w:p>
        </w:tc>
      </w:tr>
    </w:tbl>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1" w:name="ny20081083x2_defm14a_107-summary_pg7"/>
        <w:bookmarkEnd w:id="4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or the parties’ affiliates in connection with the transaction will not be affected by a termination of the Merger Agreement and will survive in accordance with their respective terms.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Agreement—Termination of the Merger Agreement” beginning on page </w:t>
      </w:r>
      <w:hyperlink w:anchor="tATE">
        <w:r>
          <w:rPr>
            <w:rStyle w:val="InternetLink"/>
          </w:rPr>
          <w:t>104</w:t>
        </w:r>
      </w:hyperlink>
      <w:r>
        <w:rPr>
          <w:rFonts w:ascii="Times New Roman;Times;serif" w:hAnsi="Times New Roman;Times;serif"/>
          <w:color w:val="000000"/>
          <w:sz w:val="20"/>
          <w:bdr w:val="single" w:sz="8" w:space="12" w:color="000000"/>
        </w:rPr>
        <w:t xml:space="preserve"> of this proxy statement. </w:t>
      </w:r>
    </w:p>
    <w:tbl>
      <w:tblPr>
        <w:tblW w:w="3445" w:type="dxa"/>
        <w:jc w:val="left"/>
        <w:tblInd w:w="240" w:type="dxa"/>
        <w:tblLayout w:type="fixed"/>
        <w:tblCellMar>
          <w:top w:w="0" w:type="dxa"/>
          <w:left w:w="0" w:type="dxa"/>
          <w:bottom w:w="0" w:type="dxa"/>
          <w:right w:w="0" w:type="dxa"/>
        </w:tblCellMar>
      </w:tblPr>
      <w:tblGrid>
        <w:gridCol w:w="275"/>
        <w:gridCol w:w="317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2" w:name="tSUM16"/>
            <w:bookmarkEnd w:id="42"/>
            <w:r>
              <w:rPr>
                <w:rFonts w:ascii="Times New Roman;Times;serif" w:hAnsi="Times New Roman;Times;serif"/>
                <w:b/>
                <w:color w:val="000000"/>
                <w:sz w:val="20"/>
              </w:rPr>
              <w:t>12.</w:t>
            </w:r>
          </w:p>
        </w:tc>
        <w:tc>
          <w:tcPr>
            <w:tcW w:w="3170" w:type="dxa"/>
            <w:tcBorders/>
            <w:vAlign w:val="center"/>
          </w:tcPr>
          <w:p>
            <w:pPr>
              <w:pStyle w:val="TableContents"/>
              <w:bidi w:val="0"/>
              <w:spacing w:before="0" w:after="0"/>
              <w:jc w:val="left"/>
              <w:rPr/>
            </w:pPr>
            <w:r>
              <w:rPr>
                <w:rFonts w:ascii="Times New Roman;Times;serif" w:hAnsi="Times New Roman;Times;serif"/>
                <w:b/>
                <w:color w:val="000000"/>
                <w:sz w:val="20"/>
              </w:rPr>
              <w:t xml:space="preserve">TERMINATION FEE </w:t>
            </w:r>
            <w:r>
              <w:rPr>
                <w:rFonts w:ascii="Times New Roman;Times;serif" w:hAnsi="Times New Roman;Times;serif"/>
                <w:b w:val="false"/>
                <w:color w:val="000000"/>
                <w:sz w:val="20"/>
              </w:rPr>
              <w:t xml:space="preserve">(See Page </w:t>
            </w:r>
            <w:hyperlink w:anchor="tATE">
              <w:r>
                <w:rPr>
                  <w:rStyle w:val="InternetLink"/>
                  <w:rFonts w:ascii="Times New Roman;Times;serif" w:hAnsi="Times New Roman;Times;serif"/>
                  <w:b w:val="false"/>
                  <w:color w:val="000080"/>
                  <w:sz w:val="20"/>
                </w:rPr>
                <w:t>104</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If the Merger Agreement is terminated under specified circumstances, Synaptics may be required to pay onsemi the Synaptics termination fee, including if Synaptics terminates the Merger Agreement to enter into a definitive agreement for a superior proposal, if onsemi terminates because the Synaptics board made a Synaptics Change in Recommendation, or if the Merger Agreement is terminated for failure to close by the End Date or failure to obtain the required Synaptics stockholder vote at a time when onsemi would have been entitled to terminate because of a Synaptics Change in Recommendation. The Synaptics termination fee may also become payable in specified circumstances if the Merger Agreement is terminated following the public disclosure of an acquisition proposal and Synaptics enters into or completes an alternative transaction within 12 months after termination.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In addition, if the Merger Agreement is terminated under specified circumstances relating to the failure to obtain required antitrust or foreign direct investment approvals, onsemi may be required to pay Synaptics the onsemi Regulatory Termination Fee. For more information, see “The Merger Agreement—Termination Fees” beginning on page </w:t>
      </w:r>
      <w:hyperlink w:anchor="tATE">
        <w:r>
          <w:rPr>
            <w:rStyle w:val="InternetLink"/>
          </w:rPr>
          <w:t>104</w:t>
        </w:r>
      </w:hyperlink>
      <w:r>
        <w:rPr>
          <w:rFonts w:ascii="Times New Roman;Times;serif" w:hAnsi="Times New Roman;Times;serif"/>
          <w:color w:val="000000"/>
          <w:sz w:val="20"/>
          <w:bdr w:val="single" w:sz="8" w:space="12" w:color="000000"/>
        </w:rPr>
        <w:t xml:space="preserve"> of this proxy statement. </w:t>
      </w:r>
    </w:p>
    <w:tbl>
      <w:tblPr>
        <w:tblW w:w="5110" w:type="dxa"/>
        <w:jc w:val="left"/>
        <w:tblInd w:w="240" w:type="dxa"/>
        <w:tblLayout w:type="fixed"/>
        <w:tblCellMar>
          <w:top w:w="0" w:type="dxa"/>
          <w:left w:w="0" w:type="dxa"/>
          <w:bottom w:w="0" w:type="dxa"/>
          <w:right w:w="0" w:type="dxa"/>
        </w:tblCellMar>
      </w:tblPr>
      <w:tblGrid>
        <w:gridCol w:w="275"/>
        <w:gridCol w:w="483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3" w:name="tSUM17"/>
            <w:bookmarkEnd w:id="43"/>
            <w:r>
              <w:rPr>
                <w:rFonts w:ascii="Times New Roman;Times;serif" w:hAnsi="Times New Roman;Times;serif"/>
                <w:b/>
                <w:color w:val="000000"/>
                <w:sz w:val="20"/>
              </w:rPr>
              <w:t>13.</w:t>
            </w:r>
          </w:p>
        </w:tc>
        <w:tc>
          <w:tcPr>
            <w:tcW w:w="4835" w:type="dxa"/>
            <w:tcBorders/>
            <w:vAlign w:val="center"/>
          </w:tcPr>
          <w:p>
            <w:pPr>
              <w:pStyle w:val="TableContents"/>
              <w:bidi w:val="0"/>
              <w:spacing w:before="0" w:after="0"/>
              <w:jc w:val="left"/>
              <w:rPr/>
            </w:pPr>
            <w:r>
              <w:rPr>
                <w:rFonts w:ascii="Times New Roman;Times;serif" w:hAnsi="Times New Roman;Times;serif"/>
                <w:b/>
                <w:color w:val="000000"/>
                <w:sz w:val="20"/>
              </w:rPr>
              <w:t xml:space="preserve">APPRAISAL RIGHTS IN THE MERGER </w:t>
            </w:r>
            <w:r>
              <w:rPr>
                <w:rFonts w:ascii="Times New Roman;Times;serif" w:hAnsi="Times New Roman;Times;serif"/>
                <w:b w:val="false"/>
                <w:color w:val="000000"/>
                <w:sz w:val="20"/>
              </w:rPr>
              <w:t xml:space="preserve">(See Page </w:t>
            </w:r>
            <w:hyperlink w:anchor="tCMA">
              <w:r>
                <w:rPr>
                  <w:rStyle w:val="InternetLink"/>
                  <w:rFonts w:ascii="Times New Roman;Times;serif" w:hAnsi="Times New Roman;Times;serif"/>
                  <w:b w:val="false"/>
                  <w:color w:val="000080"/>
                  <w:sz w:val="20"/>
                </w:rPr>
                <w:t>103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If the proposed transaction is completed and certain other statutory requirements described herein are met, Synaptics stockholders of record and beneficial owners who do not vote in favor of the Merger Proposal, who properly demand appraisal of their shares, who hold shares of stock on the date of making such demand with respect to such shares, and who continuously held such shares through the effective time may be entitled to appraisal rights in connection with the Merger under Section 262 of the DGCL. This means that Synaptics stockholders of record and beneficial owners are entitled to have their shares appraised by the Court of Chancery and to receive in lieu of the Merger Consideration a cash payment of an amount determined by the Court of Chancery equal to the “fair value” of their Synaptics common stock, exclusive of any elements of value arising from the accomplishment or expectation of the Merger, together with interest to be paid on the amount determined to be fair value, if any, as determined by the Court of Chancery or as described further herein, so long as they comply with the procedures established by Section 262 of the DGCL and certain other conditions relating to stock ownership thresholds are met. For more information, see “The Merger—Appraisal Rights” beginning on page </w:t>
      </w:r>
      <w:hyperlink w:anchor="tCMA">
        <w:r>
          <w:rPr>
            <w:rStyle w:val="InternetLink"/>
          </w:rPr>
          <w:t>103</w:t>
        </w:r>
      </w:hyperlink>
      <w:r>
        <w:rPr>
          <w:rFonts w:ascii="Times New Roman;Times;serif" w:hAnsi="Times New Roman;Times;serif"/>
          <w:color w:val="000000"/>
          <w:sz w:val="20"/>
          <w:bdr w:val="single" w:sz="8" w:space="12" w:color="000000"/>
        </w:rPr>
        <w:t xml:space="preserve"> of this proxy statement.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stockholders of record and beneficial owners considering seeking appraisal should be aware that the fair value of their shares of Synaptics common stock as determined by the Court of Chancery pursuant to Section 262 of the DGCL could be more than, the same as or less than the value of the Merger Consideration. Section 262 of the DGCL is included in this proxy statement as Annex C and is incorporated by reference herein. </w:t>
      </w:r>
    </w:p>
    <w:tbl>
      <w:tblPr>
        <w:tblW w:w="5875" w:type="dxa"/>
        <w:jc w:val="left"/>
        <w:tblInd w:w="240" w:type="dxa"/>
        <w:tblLayout w:type="fixed"/>
        <w:tblCellMar>
          <w:top w:w="0" w:type="dxa"/>
          <w:left w:w="0" w:type="dxa"/>
          <w:bottom w:w="0" w:type="dxa"/>
          <w:right w:w="0" w:type="dxa"/>
        </w:tblCellMar>
      </w:tblPr>
      <w:tblGrid>
        <w:gridCol w:w="275"/>
        <w:gridCol w:w="56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4" w:name="tSUM18"/>
            <w:bookmarkEnd w:id="44"/>
            <w:r>
              <w:rPr>
                <w:rFonts w:ascii="Times New Roman;Times;serif" w:hAnsi="Times New Roman;Times;serif"/>
                <w:b/>
                <w:color w:val="000000"/>
                <w:sz w:val="20"/>
              </w:rPr>
              <w:t>14.</w:t>
            </w:r>
          </w:p>
        </w:tc>
        <w:tc>
          <w:tcPr>
            <w:tcW w:w="560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EQUITY AWARDS </w:t>
            </w:r>
            <w:r>
              <w:rPr>
                <w:rFonts w:ascii="Times New Roman;Times;serif" w:hAnsi="Times New Roman;Times;serif"/>
                <w:b w:val="false"/>
                <w:color w:val="000000"/>
                <w:sz w:val="20"/>
              </w:rPr>
              <w:t xml:space="preserve">(See Page </w:t>
            </w:r>
            <w:hyperlink w:anchor="tTSEA">
              <w:r>
                <w:rPr>
                  <w:rStyle w:val="InternetLink"/>
                  <w:rFonts w:ascii="Times New Roman;Times;serif" w:hAnsi="Times New Roman;Times;serif"/>
                  <w:b w:val="false"/>
                  <w:color w:val="000080"/>
                  <w:sz w:val="20"/>
                </w:rPr>
                <w:t>85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RSU Awards. </w:t>
      </w:r>
      <w:r>
        <w:rPr>
          <w:rFonts w:ascii="Times New Roman;Times;serif" w:hAnsi="Times New Roman;Times;serif"/>
          <w:b w:val="false"/>
          <w:color w:val="000000"/>
          <w:sz w:val="20"/>
          <w:bdr w:val="single" w:sz="8" w:space="12" w:color="00000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(x) the number of shares of Synaptics common stock underlying such Synaptics RSU and (y)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the Synaptics board immediately prior to the effective time will be cancelled, and the former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5" w:name="ny20081083x2_defm14a_107-summary_pg8"/>
        <w:bookmarkEnd w:id="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holder will have the right to receive a cash payment equal to the product of (x) the per share Merger Consideration and (y) the applicable number of shares of Synaptics common stock subject to such award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PSU Awards. </w:t>
      </w:r>
      <w:r>
        <w:rPr>
          <w:rFonts w:ascii="Times New Roman;Times;serif" w:hAnsi="Times New Roman;Times;serif"/>
          <w:b w:val="false"/>
          <w:color w:val="000000"/>
          <w:sz w:val="20"/>
          <w:bdr w:val="single" w:sz="8" w:space="12" w:color="00000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Conversion Ratio, subject to the same terms and conditions (including time-based vesting) as applied immediately prior to the effective time, provided that any performance conditions for which a performance period has not yet closed will be deemed satisfied at target level, and the resulting onsemi award will be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(x) of the per share Merger Consideration and (y)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Synaptics MSU Awards. </w:t>
      </w:r>
      <w:r>
        <w:rPr>
          <w:rFonts w:ascii="Times New Roman;Times;serif" w:hAnsi="Times New Roman;Times;serif"/>
          <w:b w:val="false"/>
          <w:color w:val="000000"/>
          <w:sz w:val="20"/>
          <w:bdr w:val="single" w:sz="8" w:space="12" w:color="00000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(x) the per share Merger Consideration and (y)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 xml:space="preserve">Certain Non-U.S. Grantees. </w:t>
      </w:r>
      <w:r>
        <w:rPr>
          <w:rFonts w:ascii="Times New Roman;Times;serif" w:hAnsi="Times New Roman;Times;serif"/>
          <w:b w:val="false"/>
          <w:color w:val="000000"/>
          <w:sz w:val="20"/>
          <w:bdr w:val="single" w:sz="8" w:space="12" w:color="00000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40"/>
        <w:ind w:left="240" w:right="0" w:firstLine="400"/>
        <w:jc w:val="both"/>
        <w:rPr>
          <w:rFonts w:ascii="Times New Roman;Times;serif" w:hAnsi="Times New Roman;Times;serif"/>
          <w:b/>
          <w:color w:val="000000"/>
          <w:sz w:val="20"/>
          <w:bdr w:val="single" w:sz="8" w:space="12" w:color="000000"/>
        </w:rPr>
      </w:pPr>
      <w:r>
        <w:rPr>
          <w:rFonts w:ascii="Times New Roman;Times;serif" w:hAnsi="Times New Roman;Times;serif"/>
          <w:b/>
          <w:color w:val="000000"/>
          <w:sz w:val="20"/>
          <w:bdr w:val="single" w:sz="8" w:space="12" w:color="000000"/>
        </w:rPr>
        <w:t>Synaptics Employee Stock Purchase Plan</w:t>
      </w:r>
      <w:r>
        <w:rPr>
          <w:rFonts w:ascii="Times New Roman;Times;serif" w:hAnsi="Times New Roman;Times;serif"/>
          <w:b w:val="false"/>
          <w:i/>
          <w:color w:val="000000"/>
          <w:sz w:val="20"/>
          <w:bdr w:val="single" w:sz="8" w:space="12" w:color="000000"/>
        </w:rPr>
        <w:t xml:space="preserve">. </w:t>
      </w:r>
      <w:r>
        <w:rPr>
          <w:rFonts w:ascii="Times New Roman;Times;serif" w:hAnsi="Times New Roman;Times;serif"/>
          <w:b w:val="false"/>
          <w:color w:val="000000"/>
          <w:sz w:val="20"/>
          <w:bdr w:val="single" w:sz="8" w:space="12" w:color="00000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 the Final Exercise Date, the funds credited as of such date under the ESPP within the associated accumulated payroll withholding account for each participant under the ESPP shall be used to purchase shares of Synaptics common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6" w:name="ny20081083x2_defm14a_107-summary_pg9"/>
        <w:bookmarkEnd w:id="4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hanging="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For more information, see “The Merger Agreement—Treatment of Synaptics Equity Awards” beginning on page </w:t>
      </w:r>
      <w:hyperlink w:anchor="tTSEA">
        <w:r>
          <w:rPr>
            <w:rStyle w:val="InternetLink"/>
          </w:rPr>
          <w:t>85</w:t>
        </w:r>
      </w:hyperlink>
      <w:r>
        <w:rPr>
          <w:rFonts w:ascii="Times New Roman;Times;serif" w:hAnsi="Times New Roman;Times;serif"/>
          <w:color w:val="000000"/>
          <w:sz w:val="20"/>
          <w:bdr w:val="single" w:sz="8" w:space="12" w:color="000000"/>
        </w:rPr>
        <w:t xml:space="preserve"> of this proxy statement. </w:t>
      </w:r>
    </w:p>
    <w:tbl>
      <w:tblPr>
        <w:tblW w:w="4030" w:type="dxa"/>
        <w:jc w:val="left"/>
        <w:tblInd w:w="240" w:type="dxa"/>
        <w:tblLayout w:type="fixed"/>
        <w:tblCellMar>
          <w:top w:w="0" w:type="dxa"/>
          <w:left w:w="0" w:type="dxa"/>
          <w:bottom w:w="0" w:type="dxa"/>
          <w:right w:w="0" w:type="dxa"/>
        </w:tblCellMar>
      </w:tblPr>
      <w:tblGrid>
        <w:gridCol w:w="275"/>
        <w:gridCol w:w="37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7" w:name="tDOSS20"/>
            <w:bookmarkEnd w:id="47"/>
            <w:r>
              <w:rPr>
                <w:rFonts w:ascii="Times New Roman;Times;serif" w:hAnsi="Times New Roman;Times;serif"/>
                <w:b/>
                <w:color w:val="000000"/>
                <w:sz w:val="20"/>
              </w:rPr>
              <w:t>15.</w:t>
            </w:r>
          </w:p>
        </w:tc>
        <w:tc>
          <w:tcPr>
            <w:tcW w:w="37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DELISTING OF SYNAPTICS SECURITIES</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If the Merger is completed, shares of Synaptics common stock will no longer be listed on Nasdaq and will be deregistered under the Exchange Act.</w:t>
      </w:r>
    </w:p>
    <w:tbl>
      <w:tblPr>
        <w:tblW w:w="6565" w:type="dxa"/>
        <w:jc w:val="left"/>
        <w:tblInd w:w="240" w:type="dxa"/>
        <w:tblLayout w:type="fixed"/>
        <w:tblCellMar>
          <w:top w:w="0" w:type="dxa"/>
          <w:left w:w="0" w:type="dxa"/>
          <w:bottom w:w="0" w:type="dxa"/>
          <w:right w:w="0" w:type="dxa"/>
        </w:tblCellMar>
      </w:tblPr>
      <w:tblGrid>
        <w:gridCol w:w="275"/>
        <w:gridCol w:w="629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48" w:name="tSUM20"/>
            <w:bookmarkEnd w:id="48"/>
            <w:r>
              <w:rPr>
                <w:rFonts w:ascii="Times New Roman;Times;serif" w:hAnsi="Times New Roman;Times;serif"/>
                <w:b/>
                <w:color w:val="000000"/>
                <w:sz w:val="20"/>
              </w:rPr>
              <w:t>16.</w:t>
            </w:r>
          </w:p>
        </w:tc>
        <w:tc>
          <w:tcPr>
            <w:tcW w:w="6290" w:type="dxa"/>
            <w:tcBorders/>
            <w:vAlign w:val="center"/>
          </w:tcPr>
          <w:p>
            <w:pPr>
              <w:pStyle w:val="TableContents"/>
              <w:bidi w:val="0"/>
              <w:spacing w:before="0" w:after="0"/>
              <w:jc w:val="left"/>
              <w:rPr/>
            </w:pPr>
            <w:r>
              <w:rPr>
                <w:rFonts w:ascii="Times New Roman;Times;serif" w:hAnsi="Times New Roman;Times;serif"/>
                <w:b/>
                <w:color w:val="000000"/>
                <w:sz w:val="20"/>
              </w:rPr>
              <w:t xml:space="preserve">NO SOLICITATION OF OTHER OFFERS BY SYNAPTICS </w:t>
            </w:r>
            <w:r>
              <w:rPr>
                <w:rFonts w:ascii="Times New Roman;Times;serif" w:hAnsi="Times New Roman;Times;serif"/>
                <w:b w:val="false"/>
                <w:color w:val="000000"/>
                <w:sz w:val="20"/>
              </w:rPr>
              <w:t xml:space="preserve">(See Page </w:t>
            </w:r>
            <w:hyperlink w:anchor="tNSOO">
              <w:r>
                <w:rPr>
                  <w:rStyle w:val="InternetLink"/>
                  <w:rFonts w:ascii="Times New Roman;Times;serif" w:hAnsi="Times New Roman;Times;serif"/>
                  <w:b w:val="false"/>
                  <w:color w:val="000080"/>
                  <w:sz w:val="20"/>
                </w:rPr>
                <w:t>95</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As more fully described in this proxy statement and in the Merger Agreement, and subject to the exceptions described below, from the date of the Merger Agreement until the earlier of the effective time and the valid termination of the Merger Agreement, Synaptics has agreed that it will not, and will cause its subsidiaries not to, and will direct and use reasonable best efforts to cause its and their respective directors, officers and other representatives not to, directly or indirectly: </w:t>
      </w:r>
    </w:p>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making or submission of, any proposal or offer that constitutes, or would reasonably be expected to lead to, an Acquisition Proposal (as defined below);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or afford access to the representatives, businesses, assets, books, records or property of, Synaptics or its subsidiaries in connection with, or for the purpose of soliciting, initiating, knowingly encouraging, or knowingly facilitating, or in response to, an Acquisition Proposal or any inquiry, proposal or offer that would reasonably be expected to lead to an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Acquisition Proposal or any inquiry, proposal or offer that would reasonably be expected to lead to any Acquisition Proposal;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agreement or similar document with respect to any Acquisition Proposal; or </w:t>
            </w:r>
          </w:p>
        </w:tc>
      </w:tr>
    </w:tbl>
    <w:tbl>
      <w:tblPr>
        <w:tblW w:w="9965" w:type="dxa"/>
        <w:jc w:val="left"/>
        <w:tblInd w:w="240" w:type="dxa"/>
        <w:tblLayout w:type="fixed"/>
        <w:tblCellMar>
          <w:top w:w="0" w:type="dxa"/>
          <w:left w:w="0" w:type="dxa"/>
          <w:bottom w:w="0" w:type="dxa"/>
          <w:right w:w="0" w:type="dxa"/>
        </w:tblCellMar>
      </w:tblPr>
      <w:tblGrid>
        <w:gridCol w:w="110"/>
        <w:gridCol w:w="9855"/>
      </w:tblGrid>
      <w:tr>
        <w:trPr/>
        <w:tc>
          <w:tcPr>
            <w:tcW w:w="110" w:type="dxa"/>
            <w:tcBorders/>
            <w:vAlign w:val="center"/>
          </w:tcPr>
          <w:p>
            <w:pPr>
              <w:pStyle w:val="TableContents"/>
              <w:bidi w:val="0"/>
              <w:spacing w:before="0" w:after="0"/>
              <w:jc w:val="left"/>
              <w:rPr>
                <w:color w:val="000000"/>
              </w:rPr>
            </w:pPr>
            <w:r>
              <w:rPr>
                <w:color w:val="000000"/>
              </w:rPr>
              <w:t>•</w:t>
            </w:r>
          </w:p>
        </w:tc>
        <w:tc>
          <w:tcPr>
            <w:tcW w:w="98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take certain actions under Section 203 of the DGCL.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Synaptics also agreed that, promptly following execution of the Merger Agreement (and in no event later than 24 hours after its public announcement), it would cease any existing solicitation, discussions or negotiations with any person (other than onsemi and its representatives) relating to any Acquisition Proposal, terminate any related data room access and request the return or destruction of non-public information previously furnished in connection with any Acquisition Proposal.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 Synaptics may communicate with any person to request clarification of the terms and conditions of an unsolicited inquiry or proposal from such person that did not result from a material breach of the non-solicitation covenant, or to determine whether such inquiry or proposal constitutes an Acquisition Proposal, and (b) at any time prior to obtaining the required Synaptics stockholder vote, Synaptics may furnish non-public information to, and engage in discussions or negotiations with, a person that has made a bona fide written Acquisition Proposal that did not result from a material breach of the non-solicitation covenant, if the Synaptics board determines in good faith, after consultation with its outside legal counsel and financial advisor, that the proposal constitutes or would reasonably be expected to lead to a superior proposal and that failure to take such action would reasonably be expected to be inconsistent with its fiduciary duties, and subject to specified conditions, including that, prior to providing any information regarding Synaptics or any of its subsidiaries, Synaptics enter into a confidentiality agreement with such person that is no less favorable to Synaptics than its confidentiality agreement with onsemi’s affiliate and that any non-public information provided to such person be made available to onsemi. For more information, see “The Merger Agreement—No Solicitation of Other Offers by Synaptics” beginning on page </w:t>
      </w:r>
      <w:hyperlink w:anchor="tNSOO">
        <w:r>
          <w:rPr>
            <w:rStyle w:val="InternetLink"/>
          </w:rPr>
          <w:t>95</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49" w:name="ny20081083x2_defm14a_107-summary_pg10"/>
        <w:bookmarkEnd w:id="49"/>
        <w:r>
          <w:rPr>
            <w:rStyle w:val="InternetLink"/>
            <w:rFonts w:ascii="Times New Roman;Times;Serif" w:hAnsi="Times New Roman;Times;Serif"/>
            <w:b/>
            <w:caps w:val="false"/>
            <w:smallCaps w:val="false"/>
            <w:color w:val="000000"/>
            <w:sz w:val="16"/>
          </w:rPr>
          <w:t>TABLE OF CONTENTS</w:t>
        </w:r>
      </w:hyperlink>
    </w:p>
    <w:tbl>
      <w:tblPr>
        <w:tblW w:w="5695" w:type="dxa"/>
        <w:jc w:val="left"/>
        <w:tblInd w:w="240" w:type="dxa"/>
        <w:tblLayout w:type="fixed"/>
        <w:tblCellMar>
          <w:top w:w="0" w:type="dxa"/>
          <w:left w:w="0" w:type="dxa"/>
          <w:bottom w:w="0" w:type="dxa"/>
          <w:right w:w="0" w:type="dxa"/>
        </w:tblCellMar>
      </w:tblPr>
      <w:tblGrid>
        <w:gridCol w:w="275"/>
        <w:gridCol w:w="542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0" w:name="tSUM21"/>
            <w:bookmarkEnd w:id="50"/>
            <w:r>
              <w:rPr>
                <w:rFonts w:ascii="Times New Roman;Times;serif" w:hAnsi="Times New Roman;Times;serif"/>
                <w:b/>
                <w:color w:val="000000"/>
                <w:sz w:val="20"/>
              </w:rPr>
              <w:t>17.</w:t>
            </w:r>
          </w:p>
        </w:tc>
        <w:tc>
          <w:tcPr>
            <w:tcW w:w="5420" w:type="dxa"/>
            <w:tcBorders/>
            <w:vAlign w:val="center"/>
          </w:tcPr>
          <w:p>
            <w:pPr>
              <w:pStyle w:val="TableContents"/>
              <w:bidi w:val="0"/>
              <w:spacing w:before="0" w:after="0"/>
              <w:jc w:val="left"/>
              <w:rPr/>
            </w:pPr>
            <w:r>
              <w:rPr>
                <w:rFonts w:ascii="Times New Roman;Times;serif" w:hAnsi="Times New Roman;Times;serif"/>
                <w:b/>
                <w:color w:val="000000"/>
                <w:sz w:val="20"/>
              </w:rPr>
              <w:t xml:space="preserve">SYNAPTICS CHANGE IN RECOMMENDATION </w:t>
            </w:r>
            <w:r>
              <w:rPr>
                <w:rFonts w:ascii="Times New Roman;Times;serif" w:hAnsi="Times New Roman;Times;serif"/>
                <w:b w:val="false"/>
                <w:color w:val="000000"/>
                <w:sz w:val="20"/>
              </w:rPr>
              <w:t xml:space="preserve">(See Page </w:t>
            </w:r>
            <w:hyperlink w:anchor="tSCR">
              <w:r>
                <w:rPr>
                  <w:rStyle w:val="InternetLink"/>
                  <w:rFonts w:ascii="Times New Roman;Times;serif" w:hAnsi="Times New Roman;Times;serif"/>
                  <w:b w:val="false"/>
                  <w:color w:val="000080"/>
                  <w:sz w:val="20"/>
                </w:rPr>
                <w:t>93</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Synaptics board has recommended that Synaptics stockholders adopt and approve the Merger Agreement (the “Synaptics board recommendation”), and has included the Synaptics board recommendation in this proxy statement. Except as permitted by the Merger Agreement in limited circumstances intended to permit the Synaptics board to comply with its fiduciary duties under applicable law, neither the Synaptics board nor any committee of it may withhold, withdraw, modify, amend or qualify (or publicly propose to do so) the Synaptics board recommendation in a manner adverse to onsemi, or take certain other specified actions (any such action, a “Synaptics Change in Recommendation”).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Notwithstanding these restrictions, at any time prior to obtaining the required Synaptics stockholder vote, the Synaptics board may make a Synaptics Change in Recommendation, or terminate the Merger Agreement to enter into a definitive agreement for a superior proposal, in response to a bona fide written Acquisition Proposal that constitutes a superior proposal, or in response to an intervening event, if the Synaptics board determines in good faith, after consultation with its outside legal counsel and financial advisor, that the failure to do so would reasonably be expected to be inconsistent with its fiduciary duties, in each case subject to specified notice and good-faith negotiation requirements (and, in the case of a termination for a superior proposal, payment of the Synaptics termination fee). Even if the Synaptics board makes a Synaptics Change in Recommendation, unless the Merger Agreement has been earlier terminated, Synaptics remains obligated to submit the adoption of the Merger Agreement to a vote of its stockholders. For more information, see “The Merger Agreement—Synaptics Change in Recommendation” beginning on page </w:t>
      </w:r>
      <w:hyperlink w:anchor="tSCR">
        <w:r>
          <w:rPr>
            <w:rStyle w:val="InternetLink"/>
          </w:rPr>
          <w:t>93</w:t>
        </w:r>
      </w:hyperlink>
      <w:r>
        <w:rPr>
          <w:rFonts w:ascii="Times New Roman;Times;serif" w:hAnsi="Times New Roman;Times;serif"/>
          <w:color w:val="000000"/>
          <w:sz w:val="20"/>
          <w:bdr w:val="single" w:sz="8" w:space="12" w:color="000000"/>
        </w:rPr>
        <w:t xml:space="preserve"> of this proxy statement.</w:t>
      </w:r>
    </w:p>
    <w:tbl>
      <w:tblPr>
        <w:tblW w:w="3940" w:type="dxa"/>
        <w:jc w:val="left"/>
        <w:tblInd w:w="240" w:type="dxa"/>
        <w:tblLayout w:type="fixed"/>
        <w:tblCellMar>
          <w:top w:w="0" w:type="dxa"/>
          <w:left w:w="0" w:type="dxa"/>
          <w:bottom w:w="0" w:type="dxa"/>
          <w:right w:w="0" w:type="dxa"/>
        </w:tblCellMar>
      </w:tblPr>
      <w:tblGrid>
        <w:gridCol w:w="275"/>
        <w:gridCol w:w="366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1" w:name="tFTM18"/>
            <w:bookmarkEnd w:id="51"/>
            <w:r>
              <w:rPr>
                <w:rFonts w:ascii="Times New Roman;Times;serif" w:hAnsi="Times New Roman;Times;serif"/>
                <w:b/>
                <w:color w:val="000000"/>
                <w:sz w:val="20"/>
              </w:rPr>
              <w:t>18.</w:t>
            </w:r>
          </w:p>
        </w:tc>
        <w:tc>
          <w:tcPr>
            <w:tcW w:w="3665" w:type="dxa"/>
            <w:tcBorders/>
            <w:vAlign w:val="center"/>
          </w:tcPr>
          <w:p>
            <w:pPr>
              <w:pStyle w:val="TableContents"/>
              <w:bidi w:val="0"/>
              <w:spacing w:before="0" w:after="0"/>
              <w:jc w:val="left"/>
              <w:rPr/>
            </w:pPr>
            <w:r>
              <w:rPr>
                <w:rFonts w:ascii="Times New Roman;Times;serif" w:hAnsi="Times New Roman;Times;serif"/>
                <w:b/>
                <w:color w:val="000000"/>
                <w:sz w:val="20"/>
              </w:rPr>
              <w:t xml:space="preserve">FINANCING THE MERGER (See Page </w:t>
            </w:r>
            <w:hyperlink w:anchor="tFTMERG">
              <w:r>
                <w:rPr>
                  <w:rStyle w:val="InternetLink"/>
                  <w:rFonts w:ascii="Times New Roman;Times;serif" w:hAnsi="Times New Roman;Times;serif"/>
                  <w:b/>
                  <w:color w:val="000080"/>
                  <w:sz w:val="20"/>
                </w:rPr>
                <w:t>70</w:t>
              </w:r>
            </w:hyperlink>
            <w:r>
              <w:rPr>
                <w:rFonts w:ascii="Times New Roman;Times;serif" w:hAnsi="Times New Roman;Times;serif"/>
                <w:b/>
                <w:color w:val="000000"/>
                <w:sz w:val="20"/>
              </w:rPr>
              <w:t>)</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The consummation of the Merger is not conditioned on onsemi’s or Merger Sub’s ability to obtain financing for the Merger. onsemi has represented in the Merger Agreement that onsemi will have, as of the closing, sufficient funds to make all cash payments contemplated to be made by onsemi under the Merger Agreement in connection with the Merger (including the aggregate Merger Consideration), and to satisfy all other payment obligations of onsemi, Merger Sub or any of their respective subsidiaries that are required to be satisfied in connection with closing or with respect to the Merger and the other transactions contemplated by the Merger Agreement.</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In connection with the Merger Agreement, onsemi entered into a commitment letter, dated as of October 1, 2026, between onsemi and Morgan Stanley Senior Funding, Inc. (“MS”) (the “Original Commitment Letter”), pursuant to which MS has agreed to provide, subject to satisfaction of customary closing conditions, up to $2,450,000,000 of senior secured term loan facilities for the purpose of funding a portion of the Merger Consideration, and paying fees, costs and expenses in connection with the Merger. onsemi provided copies of the executed Original Commitment Letter and the related redacted fee letters to Synaptics as required by the Merger Agreement. On October 7, 2026, the Original Commitment Letter was amended and restated to add JPMorgan Chase Bank, N.A. (“JPM” and, together with MS, the “Financing Related Parties”) as a commitment party thereto (the Original Commitment Letter as amended and restated, the “Commitment Letter”). The receipt of financing by onsemi is not a condition to onsemi’s obligation to consummate the Merger. Pursuant to the Merger Agreement, Synaptics is required to use reasonable best efforts to provide onsemi with customary cooperation in connection with the financing. </w:t>
      </w:r>
    </w:p>
    <w:tbl>
      <w:tblPr>
        <w:tblW w:w="7525" w:type="dxa"/>
        <w:jc w:val="left"/>
        <w:tblInd w:w="240" w:type="dxa"/>
        <w:tblLayout w:type="fixed"/>
        <w:tblCellMar>
          <w:top w:w="0" w:type="dxa"/>
          <w:left w:w="0" w:type="dxa"/>
          <w:bottom w:w="0" w:type="dxa"/>
          <w:right w:w="0" w:type="dxa"/>
        </w:tblCellMar>
      </w:tblPr>
      <w:tblGrid>
        <w:gridCol w:w="275"/>
        <w:gridCol w:w="725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2" w:name="tSUM22"/>
            <w:bookmarkEnd w:id="52"/>
            <w:r>
              <w:rPr>
                <w:rFonts w:ascii="Times New Roman;Times;serif" w:hAnsi="Times New Roman;Times;serif"/>
                <w:b/>
                <w:color w:val="000000"/>
                <w:sz w:val="20"/>
              </w:rPr>
              <w:t>19.</w:t>
            </w:r>
          </w:p>
        </w:tc>
        <w:tc>
          <w:tcPr>
            <w:tcW w:w="7250" w:type="dxa"/>
            <w:tcBorders/>
            <w:vAlign w:val="center"/>
          </w:tcPr>
          <w:p>
            <w:pPr>
              <w:pStyle w:val="TableContents"/>
              <w:bidi w:val="0"/>
              <w:spacing w:before="0" w:after="0"/>
              <w:jc w:val="left"/>
              <w:rPr/>
            </w:pPr>
            <w:r>
              <w:rPr>
                <w:rFonts w:ascii="Times New Roman;Times;serif" w:hAnsi="Times New Roman;Times;serif"/>
                <w:b/>
                <w:color w:val="000000"/>
                <w:sz w:val="20"/>
              </w:rPr>
              <w:t xml:space="preserve">U.S. FEDERAL INCOME TAX CONSEQUENCES OF THE MERGER </w:t>
            </w:r>
            <w:r>
              <w:rPr>
                <w:rFonts w:ascii="Times New Roman;Times;serif" w:hAnsi="Times New Roman;Times;serif"/>
                <w:b w:val="false"/>
                <w:color w:val="000000"/>
                <w:sz w:val="20"/>
              </w:rPr>
              <w:t xml:space="preserve">(See Page </w:t>
            </w:r>
            <w:hyperlink w:anchor="tUSF">
              <w:r>
                <w:rPr>
                  <w:rStyle w:val="InternetLink"/>
                  <w:rFonts w:ascii="Times New Roman;Times;serif" w:hAnsi="Times New Roman;Times;serif"/>
                  <w:b w:val="false"/>
                  <w:color w:val="000080"/>
                  <w:sz w:val="20"/>
                </w:rPr>
                <w:t>107</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 Backup withholding taxes may also apply to the cash payments made pursuant to the Merger, unless such U.S. holder complies with certain certification procedures or otherwise establishes a valid exemption from backup withholding tax.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The U.S. federal income tax consequences of the Merger to U.S. holders are discussed in more detail in the section titled “U.S. Federal Income Tax Consequences of the Merger” beginning on page </w:t>
      </w:r>
      <w:hyperlink w:anchor="tUSF">
        <w:r>
          <w:rPr>
            <w:rStyle w:val="InternetLink"/>
          </w:rPr>
          <w:t>107</w:t>
        </w:r>
      </w:hyperlink>
      <w:r>
        <w:rPr>
          <w:rFonts w:ascii="Times New Roman;Times;serif" w:hAnsi="Times New Roman;Times;serif"/>
          <w:color w:val="000000"/>
          <w:sz w:val="20"/>
          <w:bdr w:val="single" w:sz="8" w:space="12" w:color="000000"/>
        </w:rPr>
        <w:t xml:space="preserve"> of this proxy statement. The discussion of the U.S. federal income tax consequences contained in this proxy statement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3" w:name="ny20081083x2_defm14a_107-summary_pg11"/>
        <w:bookmarkEnd w:id="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TAX MATTERS ARE COMPLICATED AND THE TAX CONSEQUENCES OF THE MERGER WILL DEPEND ON THE FACTS OF YOUR OWN SITUATION. YOU ARE URGED TO CONSULT YOUR OWN TAX ADVISOR AS TO THE SPECIFIC TAX CONSEQUENCES OF THE MERGER TO YOU BASED ON YOUR PARTICULAR CIRCUMSTANCES. </w:t>
      </w:r>
    </w:p>
    <w:tbl>
      <w:tblPr>
        <w:tblW w:w="5785" w:type="dxa"/>
        <w:jc w:val="left"/>
        <w:tblInd w:w="240" w:type="dxa"/>
        <w:tblLayout w:type="fixed"/>
        <w:tblCellMar>
          <w:top w:w="0" w:type="dxa"/>
          <w:left w:w="0" w:type="dxa"/>
          <w:bottom w:w="0" w:type="dxa"/>
          <w:right w:w="0" w:type="dxa"/>
        </w:tblCellMar>
      </w:tblPr>
      <w:tblGrid>
        <w:gridCol w:w="275"/>
        <w:gridCol w:w="551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4" w:name="tSUM24"/>
            <w:bookmarkEnd w:id="54"/>
            <w:r>
              <w:rPr>
                <w:rFonts w:ascii="Times New Roman;Times;serif" w:hAnsi="Times New Roman;Times;serif"/>
                <w:b/>
                <w:color w:val="000000"/>
                <w:sz w:val="20"/>
              </w:rPr>
              <w:t>20.</w:t>
            </w:r>
          </w:p>
        </w:tc>
        <w:tc>
          <w:tcPr>
            <w:tcW w:w="5510" w:type="dxa"/>
            <w:tcBorders/>
            <w:vAlign w:val="center"/>
          </w:tcPr>
          <w:p>
            <w:pPr>
              <w:pStyle w:val="TableContents"/>
              <w:bidi w:val="0"/>
              <w:spacing w:before="0" w:after="0"/>
              <w:jc w:val="left"/>
              <w:rPr/>
            </w:pPr>
            <w:r>
              <w:rPr>
                <w:rFonts w:ascii="Times New Roman;Times;serif" w:hAnsi="Times New Roman;Times;serif"/>
                <w:b/>
                <w:color w:val="000000"/>
                <w:sz w:val="20"/>
              </w:rPr>
              <w:t xml:space="preserve">TREATMENT OF SYNAPTICS’ INDEBTEDNESS </w:t>
            </w:r>
            <w:r>
              <w:rPr>
                <w:rFonts w:ascii="Times New Roman;Times;serif" w:hAnsi="Times New Roman;Times;serif"/>
                <w:b w:val="false"/>
                <w:color w:val="000000"/>
                <w:sz w:val="20"/>
              </w:rPr>
              <w:t xml:space="preserve">(See Page </w:t>
            </w:r>
            <w:hyperlink w:anchor="tTSI">
              <w:r>
                <w:rPr>
                  <w:rStyle w:val="InternetLink"/>
                  <w:rFonts w:ascii="Times New Roman;Times;serif" w:hAnsi="Times New Roman;Times;serif"/>
                  <w:b w:val="false"/>
                  <w:color w:val="000080"/>
                  <w:sz w:val="20"/>
                </w:rPr>
                <w:t>86</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will enter into a supplemental indenture providing that the cash Merger Consideration will constitute “Reference Property” into which the Synaptics Convertible Notes will be convertible. </w:t>
      </w:r>
    </w:p>
    <w:tbl>
      <w:tblPr>
        <w:tblW w:w="5575" w:type="dxa"/>
        <w:jc w:val="left"/>
        <w:tblInd w:w="240" w:type="dxa"/>
        <w:tblLayout w:type="fixed"/>
        <w:tblCellMar>
          <w:top w:w="0" w:type="dxa"/>
          <w:left w:w="0" w:type="dxa"/>
          <w:bottom w:w="0" w:type="dxa"/>
          <w:right w:w="0" w:type="dxa"/>
        </w:tblCellMar>
      </w:tblPr>
      <w:tblGrid>
        <w:gridCol w:w="275"/>
        <w:gridCol w:w="5300"/>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5" w:name="tSUM25"/>
            <w:bookmarkEnd w:id="55"/>
            <w:r>
              <w:rPr>
                <w:rFonts w:ascii="Times New Roman;Times;serif" w:hAnsi="Times New Roman;Times;serif"/>
                <w:b/>
                <w:color w:val="000000"/>
                <w:sz w:val="20"/>
              </w:rPr>
              <w:t>21.</w:t>
            </w:r>
          </w:p>
        </w:tc>
        <w:tc>
          <w:tcPr>
            <w:tcW w:w="5300" w:type="dxa"/>
            <w:tcBorders/>
            <w:vAlign w:val="center"/>
          </w:tcPr>
          <w:p>
            <w:pPr>
              <w:pStyle w:val="TableContents"/>
              <w:bidi w:val="0"/>
              <w:spacing w:before="0" w:after="0"/>
              <w:jc w:val="left"/>
              <w:rPr/>
            </w:pPr>
            <w:r>
              <w:rPr>
                <w:rFonts w:ascii="Times New Roman;Times;serif" w:hAnsi="Times New Roman;Times;serif"/>
                <w:b/>
                <w:color w:val="000000"/>
                <w:sz w:val="20"/>
              </w:rPr>
              <w:t xml:space="preserve">AMENDMENTS, REMEDIES, AND WAIVERS </w:t>
            </w:r>
            <w:r>
              <w:rPr>
                <w:rFonts w:ascii="Times New Roman;Times;serif" w:hAnsi="Times New Roman;Times;serif"/>
                <w:b w:val="false"/>
                <w:color w:val="000000"/>
                <w:sz w:val="20"/>
              </w:rPr>
              <w:t xml:space="preserve">(See Page </w:t>
            </w:r>
            <w:hyperlink w:anchor="tARW">
              <w:r>
                <w:rPr>
                  <w:rStyle w:val="InternetLink"/>
                  <w:rFonts w:ascii="Times New Roman;Times;serif" w:hAnsi="Times New Roman;Times;serif"/>
                  <w:b w:val="false"/>
                  <w:color w:val="000080"/>
                  <w:sz w:val="20"/>
                </w:rPr>
                <w:t>106</w:t>
              </w:r>
            </w:hyperlink>
            <w:r>
              <w:rPr>
                <w:rFonts w:ascii="Times New Roman;Times;serif" w:hAnsi="Times New Roman;Times;serif"/>
                <w:b w:val="false"/>
                <w:color w:val="000000"/>
                <w:sz w:val="20"/>
              </w:rPr>
              <w:t xml:space="preserve">)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 xml:space="preserve">The Merger Agreement may be amended at any time prior to the effective time (whether before or after the required Synaptics stockholder vote is obtained) by a written instrument signed by onsemi, Merger Sub and Synaptics, except that after the required Synaptics stockholder vote is obtained, no amendment may be made that by applicable law or Nasdaq rules requires further stockholder approval without obtaining such approval. Any party entitled to the benefit of any provision of the Merger Agreement may waive such provision, but only by a written instrument signed by the party granting such waiver. </w:t>
      </w:r>
    </w:p>
    <w:p>
      <w:pPr>
        <w:pStyle w:val="TextBody"/>
        <w:bidi w:val="0"/>
        <w:spacing w:before="120" w:after="240"/>
        <w:ind w:left="240" w:right="0" w:firstLine="400"/>
        <w:jc w:val="both"/>
        <w:rPr/>
      </w:pPr>
      <w:r>
        <w:rPr>
          <w:rFonts w:ascii="Times New Roman;Times;serif" w:hAnsi="Times New Roman;Times;serif"/>
          <w:color w:val="000000"/>
          <w:sz w:val="20"/>
          <w:bdr w:val="single" w:sz="8" w:space="12" w:color="000000"/>
        </w:rPr>
        <w:t xml:space="preserve">Prior to any termination of the Merger Agreement, each party is entitled to seek specific performance and other injunctive or equitable relief to prevent breaches of, and to enforce the terms of, the Merger Agreement, in addition to any other remedy at law or in equity. If a termination fee becomes payable and is paid, it will generally be the receiving party’s sole and exclusive monetary remedy in connection with the Merger Agreement, subject to carve-outs for fraud and intentional and material breach. For more information, see “The Merger Agreement—Amendments, Remedies and Waivers” beginning on page </w:t>
      </w:r>
      <w:hyperlink w:anchor="tARW">
        <w:r>
          <w:rPr>
            <w:rStyle w:val="InternetLink"/>
          </w:rPr>
          <w:t>106</w:t>
        </w:r>
      </w:hyperlink>
      <w:r>
        <w:rPr>
          <w:rFonts w:ascii="Times New Roman;Times;serif" w:hAnsi="Times New Roman;Times;serif"/>
          <w:color w:val="000000"/>
          <w:sz w:val="20"/>
          <w:bdr w:val="single" w:sz="8" w:space="12" w:color="000000"/>
        </w:rPr>
        <w:t xml:space="preserve"> of this proxy statement. </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6" w:name="ny20081083x2_defm14a_107-summary_pg12"/>
        <w:bookmarkEnd w:id="56"/>
        <w:r>
          <w:rPr>
            <w:rStyle w:val="InternetLink"/>
            <w:rFonts w:ascii="Times New Roman;Times;Serif" w:hAnsi="Times New Roman;Times;Serif"/>
            <w:b/>
            <w:caps w:val="false"/>
            <w:smallCaps w:val="false"/>
            <w:color w:val="000000"/>
            <w:sz w:val="16"/>
          </w:rPr>
          <w:t>TABLE OF CONTENTS</w:t>
        </w:r>
      </w:hyperlink>
    </w:p>
    <w:tbl>
      <w:tblPr>
        <w:tblW w:w="4330" w:type="dxa"/>
        <w:jc w:val="left"/>
        <w:tblInd w:w="240" w:type="dxa"/>
        <w:tblLayout w:type="fixed"/>
        <w:tblCellMar>
          <w:top w:w="0" w:type="dxa"/>
          <w:left w:w="0" w:type="dxa"/>
          <w:bottom w:w="0" w:type="dxa"/>
          <w:right w:w="0" w:type="dxa"/>
        </w:tblCellMar>
      </w:tblPr>
      <w:tblGrid>
        <w:gridCol w:w="275"/>
        <w:gridCol w:w="4055"/>
      </w:tblGrid>
      <w:tr>
        <w:trPr/>
        <w:tc>
          <w:tcPr>
            <w:tcW w:w="275" w:type="dxa"/>
            <w:tcBorders/>
            <w:vAlign w:val="center"/>
          </w:tcPr>
          <w:p>
            <w:pPr>
              <w:pStyle w:val="TableContents"/>
              <w:bidi w:val="0"/>
              <w:spacing w:before="0" w:after="0"/>
              <w:jc w:val="left"/>
              <w:rPr>
                <w:rFonts w:ascii="Times New Roman;Times;serif" w:hAnsi="Times New Roman;Times;serif"/>
                <w:b/>
                <w:color w:val="000000"/>
                <w:sz w:val="20"/>
              </w:rPr>
            </w:pPr>
            <w:bookmarkStart w:id="57" w:name="tSUM26"/>
            <w:bookmarkEnd w:id="57"/>
            <w:r>
              <w:rPr>
                <w:rFonts w:ascii="Times New Roman;Times;serif" w:hAnsi="Times New Roman;Times;serif"/>
                <w:b/>
                <w:color w:val="000000"/>
                <w:sz w:val="20"/>
              </w:rPr>
              <w:t>22.</w:t>
            </w:r>
          </w:p>
        </w:tc>
        <w:tc>
          <w:tcPr>
            <w:tcW w:w="4055" w:type="dxa"/>
            <w:tcBorders/>
            <w:vAlign w:val="center"/>
          </w:tcPr>
          <w:p>
            <w:pPr>
              <w:pStyle w:val="TableContents"/>
              <w:bidi w:val="0"/>
              <w:spacing w:before="0" w:after="0"/>
              <w:jc w:val="left"/>
              <w:rPr>
                <w:rFonts w:ascii="Times New Roman;Times;serif" w:hAnsi="Times New Roman;Times;serif"/>
                <w:b/>
                <w:color w:val="000000"/>
                <w:sz w:val="20"/>
              </w:rPr>
            </w:pPr>
            <w:r>
              <w:rPr>
                <w:rFonts w:ascii="Times New Roman;Times;serif" w:hAnsi="Times New Roman;Times;serif"/>
                <w:b/>
                <w:color w:val="000000"/>
                <w:sz w:val="20"/>
              </w:rPr>
              <w:t xml:space="preserve">LITIGATION RELATING TO THE MERGER </w:t>
            </w:r>
          </w:p>
        </w:tc>
      </w:tr>
    </w:tbl>
    <w:p>
      <w:pPr>
        <w:pStyle w:val="TextBody"/>
        <w:bidi w:val="0"/>
        <w:spacing w:before="120" w:after="240"/>
        <w:ind w:left="240" w:right="0" w:firstLine="400"/>
        <w:jc w:val="both"/>
        <w:rPr>
          <w:rFonts w:ascii="Times New Roman;Times;serif" w:hAnsi="Times New Roman;Times;serif"/>
          <w:color w:val="000000"/>
          <w:sz w:val="20"/>
          <w:bdr w:val="single" w:sz="8" w:space="12" w:color="000000"/>
        </w:rPr>
      </w:pPr>
      <w:r>
        <w:rPr>
          <w:rFonts w:ascii="Times New Roman;Times;serif" w:hAnsi="Times New Roman;Times;serif"/>
          <w:color w:val="000000"/>
          <w:sz w:val="20"/>
          <w:bdr w:val="single" w:sz="8" w:space="12" w:color="000000"/>
        </w:rPr>
        <w:t>Stockholders may file lawsuits challenging the Merger, which may name onsemi, Synaptics, members of the onsemi board, members of the Synaptics board or others as defendants, or may otherwise make demands alleging deficiencies and/or omissions in this proxy statement, and may seek additional disclosures to remedy these purported deficiencies, injunctive relief, recission, and/or damages. No assurance can be made as to the outcome of such lawsuits or demands, including the amount of costs associated with defending claims or any other liabilities that may be incurred in connection with the litigation of any claims or the resolution of any demands. If plaintiffs are successful in obtaining an injunction prohibiting the parties from completing the Merger on the agreed-upon terms, such an injunction may delay the consummation of the Merger or may prevent the Merger from being completed altogether.</w:t>
      </w:r>
    </w:p>
    <w:p>
      <w:pPr>
        <w:pStyle w:val="TextBody"/>
        <w:bidi w:val="0"/>
        <w:spacing w:before="189" w:after="283"/>
        <w:ind w:left="240" w:right="0" w:hanging="0"/>
        <w:jc w:val="center"/>
        <w:rPr>
          <w:rFonts w:ascii="Times New Roman;Times;serif" w:hAnsi="Times New Roman;Times;serif"/>
          <w:color w:val="000000"/>
          <w:sz w:val="20"/>
        </w:rPr>
      </w:pPr>
      <w:r>
        <w:rPr>
          <w:rFonts w:ascii="Times New Roman;Times;serif" w:hAnsi="Times New Roman;Times;serif"/>
          <w:color w:val="000000"/>
          <w:sz w:val="20"/>
        </w:rPr>
        <w:t>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58" w:name="ny20081083x2_defm14a_109-fls_pg1"/>
        <w:bookmarkEnd w:id="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59" w:name="tFLS"/>
      <w:bookmarkEnd w:id="59"/>
      <w:r>
        <w:rPr>
          <w:rFonts w:ascii="Times New Roman;Times;serif" w:hAnsi="Times New Roman;Times;serif"/>
          <w:b/>
          <w:color w:val="000000"/>
          <w:sz w:val="20"/>
        </w:rPr>
        <w:t xml:space="preserve">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including the information included or incorporated by reference, contains “forward-looking statements” within the meaning of the federal securities laws, including Section 27A of the Securities Act, and Section 21E of the Exchange Act. In this context, forward-looking statements often address future business and financial events, conditions, expectations, plans or ambitions, and often contain words such as “expect,” “anticipate,” “intend,” “plan,” “believe,” “seek,” “see,” “will,” “would,” “target,” similar expressions, and variations or negatives of these words, but not all forward-looking statements include such words. Forward-looking statements by their nature address matters that are, to different degrees, uncertain, such as statements about the consummation of the Merger and the anticipated benefits thereof, projections, estimates and forecasts of revenue and other financial and performance metrics, projections of market opportunity and expectations, and Synaptics’ ability to source and retain talent. All such forward-looking statements are based upon current plans, estimates, expectations and ambitions as of the date of this proxy statement that are subject to risks, uncertainties and assumptions, many of which are beyond the control of onsemi and Synaptics, that could cause actual results to differ materially from those expressed in such forward-looking statements. Important risk factors that may cause such a difference include, but are not limited to: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completion of the Merger on anticipated terms, or at all, and the timing of completion, including the risk that required approvals from Synaptics stockholders or applicable regulatory authorities are not obtained, or are not obtained on the terms anticipated, or are subject to conditions that reduce or eliminate the anticipated benefits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anticipated tax treatment, unforeseen liabilities, future capital expenditures, revenues, expenses, earnings, economic performance, indebtedness, financial condition, losses, future prospects, and other conditions to the completion of the Merger; </w:t>
            </w:r>
          </w:p>
        </w:tc>
      </w:tr>
    </w:tbl>
    <w:tbl>
      <w:tblPr>
        <w:tblW w:w="7240" w:type="dxa"/>
        <w:jc w:val="left"/>
        <w:tblInd w:w="0" w:type="dxa"/>
        <w:tblLayout w:type="fixed"/>
        <w:tblCellMar>
          <w:top w:w="0" w:type="dxa"/>
          <w:left w:w="0" w:type="dxa"/>
          <w:bottom w:w="0" w:type="dxa"/>
          <w:right w:w="0" w:type="dxa"/>
        </w:tblCellMar>
      </w:tblPr>
      <w:tblGrid>
        <w:gridCol w:w="110"/>
        <w:gridCol w:w="7130"/>
      </w:tblGrid>
      <w:tr>
        <w:trPr/>
        <w:tc>
          <w:tcPr>
            <w:tcW w:w="110" w:type="dxa"/>
            <w:tcBorders/>
            <w:vAlign w:val="center"/>
          </w:tcPr>
          <w:p>
            <w:pPr>
              <w:pStyle w:val="TableContents"/>
              <w:bidi w:val="0"/>
              <w:spacing w:before="0" w:after="0"/>
              <w:jc w:val="left"/>
              <w:rPr>
                <w:color w:val="000000"/>
              </w:rPr>
            </w:pPr>
            <w:r>
              <w:rPr>
                <w:color w:val="000000"/>
              </w:rPr>
              <w:t>•</w:t>
            </w:r>
          </w:p>
        </w:tc>
        <w:tc>
          <w:tcPr>
            <w:tcW w:w="71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ability of Synaptics to retain and hire key personnel in connection with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litigation or other demands relating to the Merger that could be instituted or made against Synaptics or its directors and officers;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risk that disruptions from the Merger will harm Synaptics’ business, including current plans and operations and that management’s time and attention will be diverted on transaction-related issues;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adverse reactions or changes to business relationships, including with customers, suppliers, distributors, vendors and strategic partners, resulting from the announcement of the Merger; </w:t>
            </w:r>
          </w:p>
        </w:tc>
      </w:tr>
    </w:tbl>
    <w:tbl>
      <w:tblPr>
        <w:tblW w:w="5440" w:type="dxa"/>
        <w:jc w:val="left"/>
        <w:tblInd w:w="0" w:type="dxa"/>
        <w:tblLayout w:type="fixed"/>
        <w:tblCellMar>
          <w:top w:w="0" w:type="dxa"/>
          <w:left w:w="0" w:type="dxa"/>
          <w:bottom w:w="0" w:type="dxa"/>
          <w:right w:w="0" w:type="dxa"/>
        </w:tblCellMar>
      </w:tblPr>
      <w:tblGrid>
        <w:gridCol w:w="110"/>
        <w:gridCol w:w="5330"/>
      </w:tblGrid>
      <w:tr>
        <w:trPr/>
        <w:tc>
          <w:tcPr>
            <w:tcW w:w="110" w:type="dxa"/>
            <w:tcBorders/>
            <w:vAlign w:val="center"/>
          </w:tcPr>
          <w:p>
            <w:pPr>
              <w:pStyle w:val="TableContents"/>
              <w:bidi w:val="0"/>
              <w:spacing w:before="0" w:after="0"/>
              <w:jc w:val="left"/>
              <w:rPr>
                <w:color w:val="000000"/>
              </w:rPr>
            </w:pPr>
            <w:r>
              <w:rPr>
                <w:color w:val="000000"/>
              </w:rPr>
              <w:t>•</w:t>
            </w:r>
          </w:p>
        </w:tc>
        <w:tc>
          <w:tcPr>
            <w:tcW w:w="53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unexpected costs, charges or expenses resulting from the Merger; </w:t>
            </w:r>
          </w:p>
        </w:tc>
      </w:tr>
    </w:tbl>
    <w:tbl>
      <w:tblPr>
        <w:tblW w:w="9970" w:type="dxa"/>
        <w:jc w:val="left"/>
        <w:tblInd w:w="0" w:type="dxa"/>
        <w:tblLayout w:type="fixed"/>
        <w:tblCellMar>
          <w:top w:w="0" w:type="dxa"/>
          <w:left w:w="0" w:type="dxa"/>
          <w:bottom w:w="0" w:type="dxa"/>
          <w:right w:w="0" w:type="dxa"/>
        </w:tblCellMar>
      </w:tblPr>
      <w:tblGrid>
        <w:gridCol w:w="110"/>
        <w:gridCol w:w="9860"/>
      </w:tblGrid>
      <w:tr>
        <w:trPr/>
        <w:tc>
          <w:tcPr>
            <w:tcW w:w="110" w:type="dxa"/>
            <w:tcBorders/>
            <w:vAlign w:val="center"/>
          </w:tcPr>
          <w:p>
            <w:pPr>
              <w:pStyle w:val="TableContents"/>
              <w:bidi w:val="0"/>
              <w:spacing w:before="0" w:after="0"/>
              <w:jc w:val="left"/>
              <w:rPr>
                <w:color w:val="000000"/>
              </w:rPr>
            </w:pPr>
            <w:r>
              <w:rPr>
                <w:color w:val="000000"/>
              </w:rPr>
              <w:t>•</w:t>
            </w:r>
          </w:p>
        </w:tc>
        <w:tc>
          <w:tcPr>
            <w:tcW w:w="98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rating agency actions and Synaptics’ ability to access short- and long-term debt markets on a timely and affordable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legislative, regulatory, tax and economic developments, including changes in local, national or international laws, regulations and policies affecting Synaptics, including export controls, trade restrictions, tariffs and import/export regulations applicable to the semiconductor industry;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potential business uncertainty, including the outcome of commercial negotiations and changes to existing business relationships during the pendency of the Merger that could affect Synaptics’ financial performance and operating results;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certain restrictions during the pendency of the Merger that may impact Synaptics’ ability to pursue certain business opportunities or strategic transactions or otherwise operate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cybersecurity incidents, information security breaches, data privacy matters or disruptions to information technology systems affecting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risks related to global semiconductor supply and demand dynamics, including cyclicality in end markets served by Synaptics, such as automotive, industrial, IoT, and mobile; and </w:t>
            </w:r>
          </w:p>
        </w:tc>
      </w:tr>
    </w:tbl>
    <w:tbl>
      <w:tblPr>
        <w:tblW w:w="1315" w:type="dxa"/>
        <w:jc w:val="left"/>
        <w:tblInd w:w="0" w:type="dxa"/>
        <w:tblLayout w:type="fixed"/>
        <w:tblCellMar>
          <w:top w:w="0" w:type="dxa"/>
          <w:left w:w="0" w:type="dxa"/>
          <w:bottom w:w="0" w:type="dxa"/>
          <w:right w:w="0" w:type="dxa"/>
        </w:tblCellMar>
      </w:tblPr>
      <w:tblGrid>
        <w:gridCol w:w="110"/>
        <w:gridCol w:w="1205"/>
      </w:tblGrid>
      <w:tr>
        <w:trPr/>
        <w:tc>
          <w:tcPr>
            <w:tcW w:w="110" w:type="dxa"/>
            <w:tcBorders/>
            <w:vAlign w:val="center"/>
          </w:tcPr>
          <w:p>
            <w:pPr>
              <w:pStyle w:val="TableContents"/>
              <w:bidi w:val="0"/>
              <w:spacing w:before="0" w:after="0"/>
              <w:jc w:val="left"/>
              <w:rPr>
                <w:color w:val="000000"/>
              </w:rPr>
            </w:pPr>
            <w:r>
              <w:rPr>
                <w:color w:val="000000"/>
              </w:rPr>
              <w:t>•</w:t>
            </w:r>
          </w:p>
        </w:tc>
        <w:tc>
          <w:tcPr>
            <w:tcW w:w="12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pricing trends;</w:t>
            </w:r>
          </w:p>
        </w:tc>
      </w:tr>
    </w:tbl>
    <w:tbl>
      <w:tblPr>
        <w:tblW w:w="8560" w:type="dxa"/>
        <w:jc w:val="left"/>
        <w:tblInd w:w="0" w:type="dxa"/>
        <w:tblLayout w:type="fixed"/>
        <w:tblCellMar>
          <w:top w:w="0" w:type="dxa"/>
          <w:left w:w="0" w:type="dxa"/>
          <w:bottom w:w="0" w:type="dxa"/>
          <w:right w:w="0" w:type="dxa"/>
        </w:tblCellMar>
      </w:tblPr>
      <w:tblGrid>
        <w:gridCol w:w="110"/>
        <w:gridCol w:w="8450"/>
      </w:tblGrid>
      <w:tr>
        <w:trPr/>
        <w:tc>
          <w:tcPr>
            <w:tcW w:w="110" w:type="dxa"/>
            <w:tcBorders/>
            <w:vAlign w:val="center"/>
          </w:tcPr>
          <w:p>
            <w:pPr>
              <w:pStyle w:val="TableContents"/>
              <w:bidi w:val="0"/>
              <w:spacing w:before="0" w:after="0"/>
              <w:jc w:val="left"/>
              <w:rPr>
                <w:color w:val="000000"/>
              </w:rPr>
            </w:pPr>
            <w:r>
              <w:rPr>
                <w:color w:val="000000"/>
              </w:rPr>
              <w:t>•</w:t>
            </w:r>
          </w:p>
        </w:tc>
        <w:tc>
          <w:tcPr>
            <w:tcW w:w="84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risks related to the development, introduction and market acceptance of new products and technologies;</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0" w:name="ny20081083x2_defm14a_109-fls_pg2"/>
        <w:bookmarkEnd w:id="60"/>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impact of geopolitical conditions, including acts of terrorism or outbreak of war, hostilities, civil unrest, attacks against Synaptics and other political or security disturbances, including any impacts on global supply chains and semiconductor markets;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the impacts of pandemics or other public health crises, including the effects of government responses on people and economies;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changes in technical or operating conditions, including unforeseen technical difficulties affecting the design, manufacture or delivery of semiconductor products by Synaptics. </w:t>
            </w:r>
          </w:p>
        </w:tc>
      </w:tr>
    </w:tbl>
    <w:p>
      <w:pPr>
        <w:pStyle w:val="TextBody"/>
        <w:bidi w:val="0"/>
        <w:spacing w:before="170" w:after="283"/>
        <w:ind w:left="0" w:right="0" w:hanging="0"/>
        <w:jc w:val="left"/>
        <w:rPr>
          <w:color w:val="000000"/>
        </w:rPr>
      </w:pPr>
      <w:r>
        <w:rPr>
          <w:color w:val="00000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1" w:name="ny20081083x2_defm14a_111-companies_pg1"/>
        <w:bookmarkEnd w:id="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2" w:name="tIAT"/>
      <w:bookmarkEnd w:id="62"/>
      <w:r>
        <w:rPr>
          <w:rFonts w:ascii="Times New Roman;Times;serif" w:hAnsi="Times New Roman;Times;serif"/>
          <w:b/>
          <w:color w:val="000000"/>
          <w:sz w:val="20"/>
        </w:rPr>
        <w:t xml:space="preserve">INFORMATION ABOUT THE COMPANIES </w:t>
      </w:r>
    </w:p>
    <w:p>
      <w:pPr>
        <w:pStyle w:val="TextBody"/>
        <w:bidi w:val="0"/>
        <w:spacing w:before="3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ON SEMICONDUCTOR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The contents of onsemi’s website, including the content contained in any website addresses or links included elsewhere in this proxy statement, are not incorporated into or deemed to be a part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 as Synaptics, designs and delivers AI-enabled edge solutions that bring AI closer to end users and transform how Synaptics engages with intelligent connected devices, whether at home, at work or on the move. Synaptics is a strategic partner for many global original equipment manufacturers, (“OEM”), offering custom silicon and software platforms for edge AI, wireless connectivity and human interface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traded on Nasdaq under the symbol “SYNA.” Following the Merger, Synaptics common stock will be delisted from Nasdaq.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principal executive offices are located at 1109 McKay Drive, San Jose, California 95131, and Synaptics’ telephone number is (408) 904-1100. Its corporate website address is www.synaptics.com. The contents of Synaptics’ website, including the content contained in any website addresses or links included elsewhere in this proxy statement, are not incorporated into or deemed to be a part of this proxy statement.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and its subsidiaries is included in documents incorporated by reference into this proxy statement. For a list of the documents that are incorporated by reference in this proxy statement,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Rd, Scottsdale, Arizona 85250 and its telephone number is (602) 244-6600.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3" w:name="ny20081083x2_defm14a_112-special_pg1"/>
        <w:bookmarkEnd w:id="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64" w:name="tTSM"/>
      <w:bookmarkEnd w:id="64"/>
      <w:r>
        <w:rPr>
          <w:rFonts w:ascii="Times New Roman;Times;serif" w:hAnsi="Times New Roman;Times;serif"/>
          <w:b/>
          <w:color w:val="000000"/>
          <w:sz w:val="20"/>
        </w:rPr>
        <w:t xml:space="preserve">THE SPECIAL MEETING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Synaptics stockholders as part of a solicitation of proxies by the Synaptics board for use at the Special Meeting and at any adjournments or postponements of such Special Meeting. This proxy statement provides Synaptics stockholders with important information about the Special Meeting and should be read carefully in its entirety.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Date, Time and Place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Meeting will be a virtual meeting conducted exclusively via live webcast online at www.virtualshareholdermeeting.com/SYNA2026SM at 9:00 a.m., Pacific Time (with log-in beginning at 8:45 a.m., Pacific Time) on November 17, 2026. Synaptics stockholders will be able to attend the Special Meeting online and vote shares electronically at the meeting by going to www.virtualshareholdermeeting.com/SYNA2026SM and entering the 16-digit control number included on the proxy card or voting instruction form the stockholder received. Because the Special Meeting is completely virtual and being conducted via live webcast, stockholders will not be able to attend the meeting in person. </w:t>
      </w:r>
    </w:p>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Purposes of the Special Meeting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Special Meeting is being held to consider and vote upon the following proposals: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xml:space="preserve"> to adopt the Merger Agreement, a copy of which is attached as Annex A to this proxy statement and the material provisions of which are summarized in the section titled “The Merger Agreement” beginning on page </w:t>
            </w:r>
            <w:hyperlink w:anchor="tTMA">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of this proxy statement, pursuant to which, among other things, Merger Sub will merge with and into Synaptics, with Synaptics surviving as a wholly-owned subsidiary of onsemi, and each outstanding share of Synaptics common stock, subject to limited exceptions described herein, will be converted into the right to receive $123.00 per share in cash, without interest.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to approve, on a non-binding advisory basis, the compensation that may be paid or become payable to Synaptics’s named executive officers that is based on or otherwise related to the Merger, the estimated value of which is disclosed in the table in the section titled “Merger Agreement—Interests of Synaptics’s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 xml:space="preserve">Proposal 3—the Adjournment Proposal: </w:t>
            </w:r>
            <w:r>
              <w:rPr>
                <w:rFonts w:ascii="Times New Roman;Times;serif" w:hAnsi="Times New Roman;Times;serif"/>
                <w:color w:val="000000"/>
                <w:sz w:val="20"/>
              </w:rPr>
              <w:t xml:space="preserve">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tc>
      </w:tr>
    </w:tbl>
    <w:p>
      <w:pPr>
        <w:pStyle w:val="TextBody"/>
        <w:bidi w:val="0"/>
        <w:spacing w:before="27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Recommendation of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meeting held on September 29, 2026, the Synaptics board unanimously (i) determined that the Merger Agreement and the transactions contemplated by the Merger Agreement, including the Merger, were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r>
        <w:rPr>
          <w:rFonts w:ascii="Times New Roman;Times;serif" w:hAnsi="Times New Roman;Times;serif"/>
          <w:b/>
          <w:color w:val="000000"/>
          <w:sz w:val="20"/>
        </w:rPr>
        <w:t>The Synaptics board unanimously recommends that the Synaptics stockholders vote:</w:t>
      </w:r>
      <w:r>
        <w:rPr>
          <w:rFonts w:ascii="Times New Roman;Times;serif" w:hAnsi="Times New Roman;Times;serif"/>
          <w:color w:val="000000"/>
          <w:sz w:val="20"/>
        </w:rPr>
        <w:t xml:space="preserve"> </w:t>
      </w:r>
    </w:p>
    <w:tbl>
      <w:tblPr>
        <w:tblW w:w="3610" w:type="dxa"/>
        <w:jc w:val="left"/>
        <w:tblInd w:w="0" w:type="dxa"/>
        <w:tblLayout w:type="fixed"/>
        <w:tblCellMar>
          <w:top w:w="0" w:type="dxa"/>
          <w:left w:w="0" w:type="dxa"/>
          <w:bottom w:w="0" w:type="dxa"/>
          <w:right w:w="0" w:type="dxa"/>
        </w:tblCellMar>
      </w:tblPr>
      <w:tblGrid>
        <w:gridCol w:w="110"/>
        <w:gridCol w:w="3500"/>
      </w:tblGrid>
      <w:tr>
        <w:trPr/>
        <w:tc>
          <w:tcPr>
            <w:tcW w:w="110" w:type="dxa"/>
            <w:tcBorders/>
            <w:vAlign w:val="center"/>
          </w:tcPr>
          <w:p>
            <w:pPr>
              <w:pStyle w:val="TableContents"/>
              <w:bidi w:val="0"/>
              <w:spacing w:before="0" w:after="0"/>
              <w:jc w:val="left"/>
              <w:rPr>
                <w:color w:val="000000"/>
              </w:rPr>
            </w:pPr>
            <w:r>
              <w:rPr>
                <w:color w:val="000000"/>
              </w:rPr>
              <w:t>•</w:t>
            </w:r>
          </w:p>
        </w:tc>
        <w:tc>
          <w:tcPr>
            <w:tcW w:w="35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1: “FOR” the Merger Proposal;</w:t>
            </w:r>
            <w:r>
              <w:rPr>
                <w:rFonts w:ascii="Times New Roman;Times;serif" w:hAnsi="Times New Roman;Times;serif"/>
                <w:color w:val="000000"/>
                <w:sz w:val="20"/>
              </w:rPr>
              <w:t xml:space="preserve"> </w:t>
            </w:r>
          </w:p>
        </w:tc>
      </w:tr>
    </w:tbl>
    <w:tbl>
      <w:tblPr>
        <w:tblW w:w="5335" w:type="dxa"/>
        <w:jc w:val="left"/>
        <w:tblInd w:w="0" w:type="dxa"/>
        <w:tblLayout w:type="fixed"/>
        <w:tblCellMar>
          <w:top w:w="0" w:type="dxa"/>
          <w:left w:w="0" w:type="dxa"/>
          <w:bottom w:w="0" w:type="dxa"/>
          <w:right w:w="0" w:type="dxa"/>
        </w:tblCellMar>
      </w:tblPr>
      <w:tblGrid>
        <w:gridCol w:w="110"/>
        <w:gridCol w:w="5225"/>
      </w:tblGrid>
      <w:tr>
        <w:trPr/>
        <w:tc>
          <w:tcPr>
            <w:tcW w:w="110" w:type="dxa"/>
            <w:tcBorders/>
            <w:vAlign w:val="center"/>
          </w:tcPr>
          <w:p>
            <w:pPr>
              <w:pStyle w:val="TableContents"/>
              <w:bidi w:val="0"/>
              <w:spacing w:before="0" w:after="0"/>
              <w:jc w:val="left"/>
              <w:rPr>
                <w:color w:val="000000"/>
              </w:rPr>
            </w:pPr>
            <w:r>
              <w:rPr>
                <w:color w:val="000000"/>
              </w:rPr>
              <w:t>•</w:t>
            </w:r>
          </w:p>
        </w:tc>
        <w:tc>
          <w:tcPr>
            <w:tcW w:w="52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2: “FOR” the Advisory Compensation Proposal; and</w:t>
            </w:r>
            <w:r>
              <w:rPr>
                <w:rFonts w:ascii="Times New Roman;Times;serif" w:hAnsi="Times New Roman;Times;serif"/>
                <w:color w:val="000000"/>
                <w:sz w:val="20"/>
              </w:rPr>
              <w:t xml:space="preserve"> </w:t>
            </w:r>
          </w:p>
        </w:tc>
      </w:tr>
    </w:tbl>
    <w:tbl>
      <w:tblPr>
        <w:tblW w:w="4075" w:type="dxa"/>
        <w:jc w:val="left"/>
        <w:tblInd w:w="0" w:type="dxa"/>
        <w:tblLayout w:type="fixed"/>
        <w:tblCellMar>
          <w:top w:w="0" w:type="dxa"/>
          <w:left w:w="0" w:type="dxa"/>
          <w:bottom w:w="0" w:type="dxa"/>
          <w:right w:w="0" w:type="dxa"/>
        </w:tblCellMar>
      </w:tblPr>
      <w:tblGrid>
        <w:gridCol w:w="110"/>
        <w:gridCol w:w="3965"/>
      </w:tblGrid>
      <w:tr>
        <w:trPr/>
        <w:tc>
          <w:tcPr>
            <w:tcW w:w="110" w:type="dxa"/>
            <w:tcBorders/>
            <w:vAlign w:val="center"/>
          </w:tcPr>
          <w:p>
            <w:pPr>
              <w:pStyle w:val="TableContents"/>
              <w:bidi w:val="0"/>
              <w:spacing w:before="0" w:after="0"/>
              <w:jc w:val="left"/>
              <w:rPr>
                <w:color w:val="000000"/>
              </w:rPr>
            </w:pPr>
            <w:r>
              <w:rPr>
                <w:color w:val="000000"/>
              </w:rPr>
              <w:t>•</w:t>
            </w:r>
          </w:p>
        </w:tc>
        <w:tc>
          <w:tcPr>
            <w:tcW w:w="39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b/>
                <w:i/>
                <w:color w:val="000000"/>
                <w:sz w:val="20"/>
              </w:rPr>
              <w:t>Proposal 3: “FOR” the Adjournment Proposal.</w:t>
            </w:r>
            <w:r>
              <w:rPr>
                <w:rFonts w:ascii="Times New Roman;Times;serif" w:hAnsi="Times New Roman;Times;serif"/>
                <w:color w:val="000000"/>
                <w:sz w:val="20"/>
              </w:rPr>
              <w:t xml:space="preserv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regarding these proposals and factors that Synaptics stockholders should consider when deciding how to cast their votes. Synaptics stockholders are encouraged to read carefully this proxy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5" w:name="ny20081083x2_defm14a_112-special_pg2"/>
        <w:bookmarkEnd w:id="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statement in its entirety, including the annexes to this proxy statement and documents incorporated by reference into this proxy statement, for more detailed information regarding the Merger Agreement and 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Voting by Directors and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13, 2026, Synaptics’ directors and executive officers, as a group, beneficially owned and were entitled to vote 259,726 shares of Synaptics common stock, or approximately 0.65% of the issued and outstanding shares of Synaptics common stock. It is expected that all such individuals will vote in favor of each of the proposals to be presented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Attendance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Only Synaptics stockholders of record on the Record Date, beneficial owners of Synaptics common stock on the Record Date and holders of valid proxies for the Special Meeting may attend the virtual Special Meeting. A participating stockholder who logs on to the meeting using his, her or its unique 16-digit control number will also be able to examine the stockholder list during the Special Meeting by following the instructions provided on the meeting website.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has fixed the close of business on October 13, 2026, as the Record Date for the determination of the Synaptics stockholders entitled to receive notice of, and to vote at, the Special Meeting. The Synaptics stockholders of record on the Record Date are the only Synaptics stockholders that are entitled to receive notice of, and to vote at, the Special Meeting or any adjournments or postponements of the Special Meeting. </w:t>
      </w:r>
    </w:p>
    <w:p>
      <w:pPr>
        <w:pStyle w:val="TextBody"/>
        <w:bidi w:val="0"/>
        <w:spacing w:before="240" w:after="283"/>
        <w:ind w:left="0" w:right="0" w:hanging="0"/>
        <w:jc w:val="left"/>
        <w:rPr>
          <w:rFonts w:ascii="Times New Roman;Times;serif" w:hAnsi="Times New Roman;Times;serif"/>
          <w:b/>
          <w:i/>
          <w:color w:val="000000"/>
          <w:sz w:val="20"/>
        </w:rPr>
      </w:pPr>
      <w:bookmarkStart w:id="66" w:name="tOSVRSS"/>
      <w:bookmarkEnd w:id="66"/>
      <w:r>
        <w:rPr>
          <w:rFonts w:ascii="Times New Roman;Times;serif" w:hAnsi="Times New Roman;Times;serif"/>
          <w:b/>
          <w:i/>
          <w:color w:val="000000"/>
          <w:sz w:val="20"/>
        </w:rPr>
        <w:t xml:space="preserve">Outstanding Shares and Voting Rights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Record Date, there were 39,701,387 shares of Synaptics common stock issued and outstanding, held by 109 holders of record. Each issued and outstanding share of Synaptics common stock entitles its holder of record to one vote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Stockholder List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complete list of registered Synaptics stockholders entitled to vote at the Special Meeting will be available for inspection at Synaptics’s principal executive offices at 1109 McKay Drive San Jose, California 95131, during ordinary business hours, for a period of no less than ten days before the Special Meeting and will be available during the virtual Special Meeting at www.virtualshareholdermeeting.com/SYNA2026SM. If a Synaptics stockholder wants to inspect the stockholder list, such stockholder should call the Synaptics corporate secretary at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to schedule an appointment or request access.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Quorum; Abstentions and Broker Non-Votes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order for business to be conducted at the Special Meeting, a quorum must be present. A quorum at the Special Meeting requires the presence, in person (including virtually) or by proxy, of the holders of a majority of the voting power of the outstanding shares of Synaptics common stock entitled to vote at the Special Meeting. An abstention occurs when a stockholder is present for purposes of a quorum by virtually attending the Special Meeting and either does not vote or submits a ballot marked “abstain”. An abstention also occurs when a stockholder does not attend the meeting virtually and instead submits a proxy with an “abstain” instruction. Abstentions will be counted for purposes of determining whether there is a quorum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Banks, brokers, nominees, and other record holders who hold shares of Synaptics common stock in “street name” for their customers do not have discretionary authority to vote the shares with respect to matters considered to be “non-routine.” The Merger Proposal, the Advisory Compensation Proposal and the Adjournment Proposal are “non-routine” matters. Accordingly, if banks, brokers, nominees, trustees, or other record holders do not receive specific voting instructions from the beneficial owner of shares held in street name, they may not vote such shares with respect to these proposals. Because each of the proposals to be presented at the Special Meeting are “non-routine”, there will be no broker non-votes at the Special Meeting.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Adjournment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being asked to consider and vote on the Adjournment Proposal, a proposal that will give the Synaptics board authority to adjourn the Special Meeting from time to time, if necessary or appropriate, to solicit additional proxies in the event there are not sufficient votes to approve the Merger Proposal at the time of the Special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7" w:name="ny20081083x2_defm14a_112-special_pg3"/>
        <w:bookmarkEnd w:id="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Meeting or if a quorum is not present at the Special Meeting or to ensure that any supplement or amendment to this proxy statement is timely provided to Synaptics stockholders. If the Adjournment Proposal is approved, the Special Meeting could be adjourned to any date or to multiple dates, as needed. Synaptics could adjourn the Special Meeting and any adjourned session of the Special Meeting and use the additional time to solicit additional proxies, including the solicitation of proxies from Synaptics stockholders who have previously voted against the Merger Proposal, and/or ensure a quorum is present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notice of the adjourned meeting is required to be given if the time and place, if any, (including the means of remote communication) of such adjourned meeting are (i) announced at the Special Meeting, or (ii) provided in any other manner permitted under the DGCL, provided however, if the adjournment is for more than 30 days, or if after the adjournment a new record date is fixed for the adjourned meeting (which new record date may not be required), the notice of the adjourned meeting must be given to each stockholder of record entitled to vote at the adjourned meeting. At any reconvened Special Meeting at which a quorum is present, (i) any business may be transacted that may have been transacted at the Special Meeting had a quorum been present and (ii) all proxies will be voted in the same manner as the manner in which such proxies would have been voted at the original convening of the Special Meeting, except for any proxies that have been validly revoked or withdrawn prior to the subsequent meeting. </w:t>
      </w:r>
    </w:p>
    <w:p>
      <w:pPr>
        <w:pStyle w:val="TextBody"/>
        <w:bidi w:val="0"/>
        <w:spacing w:before="400" w:after="283"/>
        <w:ind w:left="0" w:right="0" w:hanging="0"/>
        <w:jc w:val="left"/>
        <w:rPr>
          <w:rFonts w:ascii="Times New Roman;Times;serif" w:hAnsi="Times New Roman;Times;serif"/>
          <w:b/>
          <w:i/>
          <w:color w:val="000000"/>
          <w:sz w:val="20"/>
        </w:rPr>
      </w:pPr>
      <w:bookmarkStart w:id="68" w:name="tVR"/>
      <w:bookmarkEnd w:id="68"/>
      <w:r>
        <w:rPr>
          <w:rFonts w:ascii="Times New Roman;Times;serif" w:hAnsi="Times New Roman;Times;serif"/>
          <w:b/>
          <w:i/>
          <w:color w:val="000000"/>
          <w:sz w:val="20"/>
        </w:rPr>
        <w:t xml:space="preserve">Vote Required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votes required for each proposal are as follows: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1—the Merger Proposal</w:t>
            </w:r>
            <w:r>
              <w:rPr>
                <w:rFonts w:ascii="Times New Roman;Times;serif" w:hAnsi="Times New Roman;Times;serif"/>
                <w:color w:val="000000"/>
                <w:sz w:val="20"/>
              </w:rPr>
              <w:t>. The affirmative vote of holders of a majority of the issued and outstanding shares of Synaptics common stock as of the Record Date and entitled to vote thereon is required to adopt the Merger Proposal. The required vote on the Merger Proposal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2—the Advisory Compensation Proposal</w:t>
            </w:r>
            <w:r>
              <w:rPr>
                <w:rFonts w:ascii="Times New Roman;Times;serif" w:hAnsi="Times New Roman;Times;serif"/>
                <w:color w:val="000000"/>
                <w:sz w:val="20"/>
              </w:rPr>
              <w:t xml:space="preserve">. 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While the Synaptics board intends to consider the vote resulting from the Advisory Compensation Proposal, the vote is advisory only and therefore not binding on Synaptics, and, if the Merger Agreement is adopted by Synaptics stockholders and the Merger is consummated, the compensation that is the subject of the Advisory Compensation Proposal, including amounts Synaptics is contractually obligated to pay, would potentially be payable even if the Advisory Compensation Proposal is not approved.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Proposal 3—the Adjournment Proposal.</w:t>
            </w:r>
            <w:r>
              <w:rPr>
                <w:rFonts w:ascii="Times New Roman;Times;serif" w:hAnsi="Times New Roman;Times;serif"/>
                <w:color w:val="000000"/>
                <w:sz w:val="20"/>
              </w:rPr>
              <w:t xml:space="preserve"> If a quorum is present, the affirmative vote of the holders of a majority of the votes cast on such matter, voting in favor of or against such matter (excluding abstentions and broker non-votes), where a quorum is present, is required to approve the Adjournment Proposal.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Adjournment Proposal. Brokers do not have discretion to vote on this proposal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69" w:name="ny20081083x2_defm14a_112-special_pg4"/>
        <w:bookmarkEnd w:id="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If you hold your shares of Synaptics common stock in “street name” through a bank, broker, nominee, trustee or other record holder, you must instruct your bank, broker, nominee, trustee or other record holder on how to vote your shares. Your bank, broker, nominee, trustee or other record holder will vote your shares of Synaptics common stock only if you provide instructions on how to vote by filling out the voting instruction form sent to you by your bank, broker, nominee, trustee or other record holder with this proxy statement. Banks, brokers, nominees, trustees or other record holders who hold shares of Synaptics common stock in “street name” typically have the authority to vote in their discretion on “routine” proposals when they have not received instructions on how to vote from the beneficial owner. However, banks, brokers, nominees, trustees or other record holders typically are not allowed to exercise their voting discretion on matters that are “non-routine” without specific instructions on how to vote from the beneficial owner. Each of the proposals to be presented at the Special Meeting are non-routine.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How to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and beneficial owners of Synaptics common stock on the Record Date may vote their shares of Synaptics common stock by submitting a proxy, voting virtually online at the Special Meeting by following the instructions provided on the proxy card or voting instruction form received, or by phone by calling 1-800-690-6903 toll-free and following the recorded instructions until 11:59 p.m. Eastern Time or 8:59 p.m. Pacific Time on November 16, 2026. Synaptics recommends that Synaptics stockholders entitled to vote submit a proxy prior to the Special Meeting even if they plan to attend the virtual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are encouraged to submit a proxy promptly. Each valid proxy received in time will be voted at the Special Meeting according to the choice specified, if any. Executed but uninstructed proxies (i.e., proxies that are properly signed, dated and returned but are not marked to tell the proxies how to vote) will be voted in accordance with the recommendations of the Synaptics board.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Record Holders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vote in one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Internet</w:t>
            </w:r>
            <w:r>
              <w:rPr>
                <w:rFonts w:ascii="Times New Roman;Times;serif" w:hAnsi="Times New Roman;Times;serif"/>
                <w:color w:val="000000"/>
                <w:sz w:val="20"/>
              </w:rPr>
              <w:t xml:space="preserve">: Synaptics stockholders of record may submit their proxy over the internet at www.virtualshareholdermeeting.com/SYNA2026SM. Internet voting is available 24 hours a day and will be accessible until 11:59 p.m. Eastern Time or 8:59 p.m. Pacific Time, on November 16, 2026. Stockholders will be given an opportunity to confirm that their voting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Telephone</w:t>
            </w:r>
            <w:r>
              <w:rPr>
                <w:rFonts w:ascii="Times New Roman;Times;serif" w:hAnsi="Times New Roman;Times;serif"/>
                <w:color w:val="000000"/>
                <w:sz w:val="20"/>
              </w:rPr>
              <w:t xml:space="preserve">: Synaptics stockholders of record may submit their proxy by calling 1-800-690-6903. Telephone voting is available 24 hours a day and will be accessible until 11:59 p.m., Eastern Time or 8:59 p.m. Pacific Time, on November 16, 2026. Easy-to-follow voice prompts will guide stockholders through the voting and allow them to confirm that their instructions have been properly recorded. Synaptics stockholders who submit a proxy this way need not send in their proxy card by mail.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Mail</w:t>
            </w:r>
            <w:r>
              <w:rPr>
                <w:rFonts w:ascii="Times New Roman;Times;serif" w:hAnsi="Times New Roman;Times;serif"/>
                <w:color w:val="000000"/>
                <w:sz w:val="20"/>
              </w:rPr>
              <w:t xml:space="preserve">: Synaptics stockholders of record may submit their proxy by properly completing, signing, dating and mailing their proxy card or voting instruction form in the self-addressed, stamped envelope (if mailed in the United States) included with this proxy statement. Synaptics stockholders who vote this way should mail the proxy card early enough so that it is received prior to the closing of the polls at the Special Meeting.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b/>
                <w:i/>
                <w:color w:val="000000"/>
                <w:sz w:val="20"/>
              </w:rPr>
              <w:t>Online During the Virtual Meeting</w:t>
            </w:r>
            <w:r>
              <w:rPr>
                <w:rFonts w:ascii="Times New Roman;Times;serif" w:hAnsi="Times New Roman;Times;serif"/>
                <w:color w:val="000000"/>
                <w:sz w:val="20"/>
              </w:rPr>
              <w:t xml:space="preserve">: Synaptics stockholders of record may attend the virtual Special Meeting by entering their unique 16-digit control number and vote online; attendance at the virtual Special Meeting alone will not, however, in and of itself constitute a vote or a revocation of a prior proxy. </w:t>
            </w:r>
          </w:p>
        </w:tc>
      </w:tr>
    </w:tbl>
    <w:p>
      <w:pPr>
        <w:pStyle w:val="TextBody"/>
        <w:bidi w:val="0"/>
        <w:spacing w:before="2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Beneficial Owners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who hold their shares of Synaptics common stock beneficially in “street name” and wish to submit a proxy must provide instructions to the bank, broker or other nominee that holds their shares of record as to how to vote their shares with respect to the Merger Proposal, the Advisory Compensation Proposal and the Adjournment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0" w:name="ny20081083x2_defm14a_112-special_pg5"/>
        <w:bookmarkEnd w:id="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Proposal. Most beneficial owners will have a choice of voting before the Special Meeting by proxy over the internet, by telephone or by using a voting instruction form. Each beneficial owner of Synaptics common stock should refer to the voting instruction form received to see what options are available and how to use them. However, attendance at the virtual Special Meeting will not, in and of itself, constitute a vote or a revocation of a prior proxy.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Brokers, banks and other nominees who hold shares of Synaptics common stock in “street name” for their customers do not have discretionary authority to vote the shares with respect to matters considered to be “non-routine.” The Merger Proposal, the Advisory Compensation Proposal and the Adjournment Proposal are all “non-routine” matters. Therefore, banks, brokers, nominees, trustees or other record holders do not have discretionary authority to vote on any proposals at the Special Meeting. As a result, there will not be any broker non-votes at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Without stockholders’ instructions, shares held in “street name” will not be counted for purposes of determining whether there is a quorum at the Special Meeting, and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the Merger Proposal. Regardless of whether a quorum is present, those uninstructed shares held in “street name” where the stockholder is not present at the Special Meeting will have no effect on the Advisory Compensation Proposal or Adjournment Proposal. Thus, for shares of Synaptics common stock held in “street name,” only shares of Synaptics common stock affirmatively voted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the Advisory Compensation Proposal or the Adjournment Proposal will be counted as a vote in favor of such proposal. </w:t>
      </w:r>
    </w:p>
    <w:p>
      <w:pPr>
        <w:pStyle w:val="TextBody"/>
        <w:bidi w:val="0"/>
        <w:spacing w:before="290" w:after="283"/>
        <w:ind w:left="0" w:right="0" w:hanging="0"/>
        <w:jc w:val="left"/>
        <w:rPr>
          <w:rFonts w:ascii="Times New Roman;Times;serif" w:hAnsi="Times New Roman;Times;serif"/>
          <w:b/>
          <w:i/>
          <w:color w:val="000000"/>
          <w:sz w:val="20"/>
        </w:rPr>
      </w:pPr>
      <w:bookmarkStart w:id="71" w:name="tPAR1"/>
      <w:bookmarkEnd w:id="71"/>
      <w:r>
        <w:rPr>
          <w:rFonts w:ascii="Times New Roman;Times;serif" w:hAnsi="Times New Roman;Times;serif"/>
          <w:b/>
          <w:i/>
          <w:color w:val="000000"/>
          <w:sz w:val="20"/>
        </w:rPr>
        <w:t xml:space="preserve">Proxies and Revocation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of record may revoke their proxies at any time before their shares of Synaptics common stock are voted at the Special Meeting in any of the following ways: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written notice of revocation of the proxy to Synaptics’s corporate secretary at Synaptics’s principal executive offices at 1109 McKay Drive, San Jose, California 95131-1706, by no later than 11:59 p.m. Eastern Time or 8:59 p.m. Pacific Time on November 16,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delivering another proxy with a later date to Synaptics’s corporate secretary at Synaptics’s principal executive offices at 1109 McKay Drive, San Jose, California 95131, by no later than 11:59 p.m. Eastern Time or 8:59 p.m. Pacific Time on November 16, 2026 (in which case only the later-dated proxy is counted and the earlier proxy is revoked);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submitting another proxy again via the internet or by telephone at a later date, by no later than 11:59 p.m. Eastern Time or 8:59 p.m. Pacific Time on November 16, 2026 (in which case only the later-dated proxy is counted and the earlier proxy is revoked); or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attending the Special Meeting virtually, using the stockholder’s unique 16-digit control number and voting their shares online during the meeting; attendance at the virtual Special Meeting will not, in and of itself, revoke a valid proxy that was previously delivered unless the stockholder gives written notice of revocation to the Synaptics corporate secretary before the proxy is exercised or unless the stockholder votes their shares online during the Special Meeting.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Synaptics stockholder holds shares through a bank, broker or other nominee, such stockholder may change or revoke his, her or its voting instructions before the Special Meeting by providing instructions again through the means specified on his, her or its voting instruction form (with most having the option to do so by internet, telephone or mail), which must be received before 11:59 p.m. Eastern Time or 8:59 p.m. Pacific Time on November 16, 2026.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Inspector of Elections; Tabulation of Votes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Voting results will be tabulated and certified by an individual designated by the Synaptics board to serve as inspector of election.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Solicitation of Proxies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will pay for the proxy solicitation costs related to the Special Meeting. In addition to sending and making available these materials, some of Synaptics’s directors, officers and other employees may solicit proxies by contacting Synaptics stockholders by telephone, by mail, by e-mail or online. Synaptics stockholders may also be solicited by, among others, news releases issued by Synaptics and/or onsemi, postings on Synaptics’s or onsemi’s websites and social media accounts and advertisements in periodicals. None of Synaptics’s directors, officers or employees will receive any extra compensation for their solicitation services. Synaptics has also retained MacKenzie Partners as its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2" w:name="ny20081083x2_defm14a_112-special_pg6"/>
        <w:bookmarkEnd w:id="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proxy solicitor to assist in the solicitation of proxies. For these proxy solicitation services, MacKenzie Partners will receive a fee not to exceed $35,000, plus reasonable out-of-pocket expenses and fees for any additional services. Synaptics may also reimburse banks, brokers, and other nominees for their expenses in sending proxy solicitation materials to the beneficial owners of shares of Synaptics common stock and obtaining their proxies.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this time, Synaptics knows of no other matters to be submitted at the Special Meeting other than those listed in the notice.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Householding of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a number of brokers with accountholders who are Synaptics stockholders will be “householding” Synaptics’s Special Meeting materials. These brokers will deliver one copy of this proxy statement to stockholders that share an address, unless contrary instructions have been received from the affected stockholders. Once a broker notifies stockholders that the broker will be “householding” communications, “householding” will continue until the affected stockholders are notified otherwise or revoke their consent. If, at any time, you no longer wish to participate in “householding” and would prefer to receive a separate set of Special Meeting materials, please notify your broker or Synaptics, Inc. Direct your written request to 1109 McKay Drive, San Jose, California 95131, Attn: Corporate Secretary, or call </w:t>
      </w:r>
      <w:r>
        <w:rPr>
          <w:rFonts w:ascii="Times New Roman;Times;serif" w:hAnsi="Times New Roman;Times;serif"/>
          <w:b/>
          <w:color w:val="000000"/>
          <w:sz w:val="20"/>
        </w:rPr>
        <w:t>(</w:t>
      </w:r>
      <w:r>
        <w:rPr>
          <w:rFonts w:ascii="Times New Roman;Times;serif" w:hAnsi="Times New Roman;Times;serif"/>
          <w:color w:val="000000"/>
          <w:sz w:val="20"/>
        </w:rPr>
        <w:t>408</w:t>
      </w:r>
      <w:r>
        <w:rPr>
          <w:rFonts w:ascii="Times New Roman;Times;serif" w:hAnsi="Times New Roman;Times;serif"/>
          <w:b/>
          <w:color w:val="000000"/>
          <w:sz w:val="20"/>
        </w:rPr>
        <w:t xml:space="preserve">) </w:t>
      </w:r>
      <w:r>
        <w:rPr>
          <w:rFonts w:ascii="Times New Roman;Times;serif" w:hAnsi="Times New Roman;Times;serif"/>
          <w:color w:val="000000"/>
          <w:sz w:val="20"/>
        </w:rPr>
        <w:t xml:space="preserve">904 -1100.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Questions and Additional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may contact Synaptics’s proxy solicitor with any questions about the Merger Proposal, the Advisory Compensation Proposal or the Adjournment Proposal or how to vote or to request additional copies of any materials at: </w:t>
      </w:r>
    </w:p>
    <w:p>
      <w:pPr>
        <w:pStyle w:val="TextBody"/>
        <w:bidi w:val="0"/>
        <w:spacing w:before="305" w:after="283"/>
        <w:jc w:val="center"/>
        <w:rPr>
          <w:color w:val="000000"/>
        </w:rPr>
      </w:pPr>
      <w:r>
        <w:rPr>
          <w:color w:val="000000"/>
        </w:rPr>
        <w:drawing>
          <wp:inline distT="0" distB="0" distL="0" distR="0">
            <wp:extent cx="1933575" cy="5715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933575" cy="57150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7 Penn Plaza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New York, New York 10001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b/>
          <w:color w:val="000000"/>
          <w:sz w:val="20"/>
        </w:rPr>
        <w:t>Call Toll-Free (800) 322-2885</w:t>
      </w:r>
      <w:r>
        <w:rPr>
          <w:rFonts w:ascii="Times New Roman;Times;serif" w:hAnsi="Times New Roman;Times;serif"/>
          <w:color w:val="000000"/>
          <w:sz w:val="20"/>
        </w:rPr>
        <w:t xml:space="preserve"> </w:t>
      </w:r>
    </w:p>
    <w:p>
      <w:pPr>
        <w:pStyle w:val="TextBody"/>
        <w:bidi w:val="0"/>
        <w:spacing w:before="170" w:after="283"/>
        <w:jc w:val="center"/>
        <w:rPr>
          <w:rFonts w:ascii="Times New Roman;Times;serif" w:hAnsi="Times New Roman;Times;serif"/>
          <w:color w:val="000000"/>
          <w:sz w:val="20"/>
        </w:rPr>
      </w:pPr>
      <w:r>
        <w:rPr>
          <w:rFonts w:ascii="Times New Roman;Times;serif" w:hAnsi="Times New Roman;Times;serif"/>
          <w:color w:val="000000"/>
          <w:sz w:val="20"/>
        </w:rPr>
        <w:t xml:space="preserve">Email: proxy@mackenziepartners.com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Synaptics stockholders should not return their stock certificates or send documents representing Synaptics common stock with the enclosed proxy card. If the Merger is completed, the exchange agent for the Merger will send to Synaptics stockholders of record a letter of transmittal and related materials and instructions for exchanging shares of Synaptics common stock for the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3" w:name="ny20081083x2_defm14a_113-merger_pg1"/>
        <w:bookmarkEnd w:id="7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74" w:name="tTM"/>
      <w:bookmarkEnd w:id="74"/>
      <w:r>
        <w:rPr>
          <w:rFonts w:ascii="Times New Roman;Times;serif" w:hAnsi="Times New Roman;Times;serif"/>
          <w:b/>
          <w:color w:val="000000"/>
          <w:sz w:val="20"/>
        </w:rPr>
        <w:t xml:space="preserve">THE MERGER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General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being provided to holders of Synaptics common stock in connection with the solicitation of proxies to be voted at the Special Meeting and at any adjournments or postponements of the Special Meeting. This proxy statement constitutes a proxy statement of Synaptics under Section 14(a) of the Exchange Act. At the Special Meeting, Synaptics Incorporated will ask Synaptics stockholders to consider and vote on (i) the Merger Proposal, (ii) the Advisory Compensation Proposal and (iii) the Adjournment Proposal. </w:t>
      </w:r>
    </w:p>
    <w:p>
      <w:pPr>
        <w:pStyle w:val="TextBody"/>
        <w:bidi w:val="0"/>
        <w:spacing w:before="120" w:after="283"/>
        <w:ind w:left="0" w:right="0" w:firstLine="400"/>
        <w:jc w:val="both"/>
        <w:rPr/>
      </w:pPr>
      <w:r>
        <w:rPr>
          <w:rFonts w:ascii="Times New Roman;Times;serif" w:hAnsi="Times New Roman;Times;serif"/>
          <w:color w:val="000000"/>
          <w:sz w:val="20"/>
        </w:rPr>
        <w:t xml:space="preserve">The Merger Agreement provides for, among other things, the merger of Merger Sub with and into Synaptics, with Synaptics continuing as the Surviving Corporation and a wholly owned subsidiary of onsemi. </w:t>
      </w:r>
      <w:r>
        <w:rPr>
          <w:rFonts w:ascii="Times New Roman;Times;serif" w:hAnsi="Times New Roman;Times;serif"/>
          <w:b/>
          <w:color w:val="000000"/>
          <w:sz w:val="20"/>
        </w:rPr>
        <w:t>The Merger will not be completed unless Synaptics stockholders adopt the Merger Agreement</w:t>
      </w:r>
      <w:r>
        <w:rPr>
          <w:rFonts w:ascii="Times New Roman;Times;serif" w:hAnsi="Times New Roman;Times;serif"/>
          <w:color w:val="000000"/>
          <w:sz w:val="20"/>
        </w:rPr>
        <w:t xml:space="preserve">. A copy of the Merger Agreement is attached as Annex A to this proxy statement. You are urged to read the Merger Agreement in its entirety because it is the legal document that governs the Merger. For additional information about the Merger, see the sections titled “The Merger Agreement – The Merger” and “The Merger Agreement – Merger Consideration” beginning on pages </w:t>
      </w:r>
      <w:hyperlink w:anchor="tATM">
        <w:r>
          <w:rPr>
            <w:rStyle w:val="InternetLink"/>
            <w:rFonts w:ascii="Times New Roman;Times;serif" w:hAnsi="Times New Roman;Times;serif"/>
            <w:color w:val="000080"/>
            <w:sz w:val="20"/>
          </w:rPr>
          <w:t>83</w:t>
        </w:r>
      </w:hyperlink>
      <w:r>
        <w:rPr>
          <w:rFonts w:ascii="Times New Roman;Times;serif" w:hAnsi="Times New Roman;Times;serif"/>
          <w:color w:val="000000"/>
          <w:sz w:val="20"/>
        </w:rPr>
        <w:t xml:space="preserve"> and </w:t>
      </w:r>
      <w:hyperlink w:anchor="tMCA">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respectively,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each outstanding share of Synaptics common stock (other than the cancelled shares (as defined in the Merger Agreement) and dissenting shares) will be converted into the right to receive the Merger Consideration, without interest, subject to applicable tax withholding.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The Parties </w:t>
      </w:r>
    </w:p>
    <w:p>
      <w:pPr>
        <w:pStyle w:val="TextBody"/>
        <w:bidi w:val="0"/>
        <w:spacing w:before="1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Semiconductor Corporation, together with its wholly and majority-owned subsidiaries, which operate under the onsemi brand, is referred to in this proxy statement as onsemi and was incorporated under the laws of the State of Delaware in 1992. onsemi is headquartered in Scottsdale, Arizona. onsemi delivers intelligent power and intelligent sensing technologies that enable electrification, energy efficiency, safety, and automation across automotive, industrial, and AI data center end-markets.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principal trading market for onsemi’s common stock (Nasdaq: ON) is the Nasdaq Stock Market LLC.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principal executive offices of onsemi are located at 5701 N. Pima Road, Scottsdale, Arizona 85250. Its telephone number is (602) 244-6600 and its website is www.onsemi.com. Information contained in, or that can be accessed through, onsemi’s website does not constitute part of this proxy statement and, therefore, is not incorporated into this proxy statement by reference.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Incorporated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Incorporated, which is referred to in this proxy statement as Synaptics, is a leading designer and developer of AI-enabled edge solutions and human interface technologies. Synaptics serves as a strategic partner for many global original equipment manufacturers, offering custom silicon and software platforms for edge AI, wireless connectivity and human interface technologies.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incorporated in Delaware. Synaptics’ principal executive offices are located at 1109 McKay Drive, San Jose, California 95131, and its telephone number is (408) 904-1100. Synaptics’ website address is www.synaptics.com. Information contained in, or that can be accessed through, Synaptics’ website does not constitute part of this proxy statement and, therefore, is not incorporated into this proxy statement by reference.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common stock is listed on Nasdaq under the ticker symbol “SYNA.” Following the closing of the Merger, Synaptics common stock will be delisted from Nasdaq. </w:t>
      </w:r>
    </w:p>
    <w:p>
      <w:pPr>
        <w:pStyle w:val="TextBody"/>
        <w:bidi w:val="0"/>
        <w:spacing w:before="120" w:after="283"/>
        <w:ind w:left="0" w:right="0" w:firstLine="400"/>
        <w:jc w:val="both"/>
        <w:rPr/>
      </w:pPr>
      <w:r>
        <w:rPr>
          <w:rFonts w:ascii="Times New Roman;Times;serif" w:hAnsi="Times New Roman;Times;serif"/>
          <w:color w:val="000000"/>
          <w:sz w:val="20"/>
        </w:rPr>
        <w:t xml:space="preserve">Additional information about Synaptics is included in documents incorporated by reference into this proxy statement. For a list of documents that are incorporated by reference in this proxy statement,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Sonic Acquisition Corp.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Sonic Acquisition Corp., which is referred to in this proxy statement as Merger Sub, is a Delaware corporation and a wholly owned subsidiary of onsemi. Merger Sub was formed solely for the purpose of completing the Merger. Merger Sub has not carried on any activities to date, except for activities incidental to its formation and activities undertaken in connection with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5" w:name="ny20081083x2_defm14a_113-merger_pg2"/>
        <w:bookmarkEnd w:id="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Merger Sub was formed in the State of Delaware on June 18, 2026. At the effective time, Merger Sub will merge with and into Synaptics, with Synaptics surviving the Merger as a wholly owned subsidiary of onsemi. The principal executive offices of Merger Sub are located at 5701 N. Pima Road, Scottsdale, Arizona 85250, and its telephone number is (602) 244-6600. </w:t>
      </w:r>
    </w:p>
    <w:p>
      <w:pPr>
        <w:pStyle w:val="TextBody"/>
        <w:bidi w:val="0"/>
        <w:spacing w:before="350" w:after="283"/>
        <w:ind w:left="0" w:right="0" w:hanging="0"/>
        <w:jc w:val="left"/>
        <w:rPr>
          <w:rFonts w:ascii="Times New Roman;Times;serif" w:hAnsi="Times New Roman;Times;serif"/>
          <w:b/>
          <w:i/>
          <w:color w:val="000000"/>
          <w:sz w:val="20"/>
        </w:rPr>
      </w:pPr>
      <w:bookmarkStart w:id="76" w:name="tMCMA"/>
      <w:bookmarkEnd w:id="76"/>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pPr>
      <w:r>
        <w:rPr>
          <w:rFonts w:ascii="Times New Roman;Times;serif" w:hAnsi="Times New Roman;Times;serif"/>
          <w:color w:val="000000"/>
          <w:sz w:val="20"/>
        </w:rPr>
        <w:t xml:space="preserve">Upon the terms and subject to the conditions of the Merger Agreement, at the effective time, each share of Synaptics common stock issued and outstanding immediately prior to the effective time (other than the cancelled shares and dissenting shares) in each case as described under “The Merger Agreement—Effect on Synaptics common stock” beginning on page </w:t>
      </w:r>
      <w:hyperlink w:anchor="tESCS">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proxy statement) will be converted into the right to receive the Merger Consideration.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Merger Consideration , and the treatment of Synaptics common stock in the Merger, see “The Merger Agreement—Merger Consideration” beginning on page </w:t>
      </w:r>
      <w:hyperlink w:anchor="tMCA">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and “The Merger Agreement—Effect on Synaptics common stock” beginning on page </w:t>
      </w:r>
      <w:hyperlink w:anchor="tESCS">
        <w:r>
          <w:rPr>
            <w:rStyle w:val="InternetLink"/>
            <w:rFonts w:ascii="Times New Roman;Times;serif" w:hAnsi="Times New Roman;Times;serif"/>
            <w:color w:val="000080"/>
            <w:sz w:val="20"/>
          </w:rPr>
          <w:t>84</w:t>
        </w:r>
      </w:hyperlink>
      <w:r>
        <w:rPr>
          <w:rFonts w:ascii="Times New Roman;Times;serif" w:hAnsi="Times New Roman;Times;serif"/>
          <w:color w:val="000000"/>
          <w:sz w:val="20"/>
        </w:rPr>
        <w:t xml:space="preserve"> of this proxy statement. </w:t>
      </w:r>
    </w:p>
    <w:p>
      <w:pPr>
        <w:pStyle w:val="TextBody"/>
        <w:bidi w:val="0"/>
        <w:spacing w:before="350" w:after="283"/>
        <w:ind w:left="0" w:right="0" w:hanging="0"/>
        <w:jc w:val="left"/>
        <w:rPr>
          <w:rFonts w:ascii="Times New Roman;Times;serif" w:hAnsi="Times New Roman;Times;serif"/>
          <w:b/>
          <w:i/>
          <w:color w:val="000000"/>
          <w:sz w:val="20"/>
        </w:rPr>
      </w:pPr>
      <w:bookmarkStart w:id="77" w:name="tBCG"/>
      <w:bookmarkEnd w:id="77"/>
      <w:r>
        <w:rPr>
          <w:rFonts w:ascii="Times New Roman;Times;serif" w:hAnsi="Times New Roman;Times;serif"/>
          <w:b/>
          <w:i/>
          <w:color w:val="000000"/>
          <w:sz w:val="20"/>
        </w:rPr>
        <w:t xml:space="preserve">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terms of the Merger Agreement are the result of arm’s-length negotiations between representatives of Synaptics, under the oversight of the Synaptics board and the special committee described below, and representatives of onsemi. The following is a summary of the material events leading up to the execution of the Merger Agreement, including the key meetings, negotiations, discussions and actions among Synaptics, onsemi and their respective boards of directors, senior management teams and advisors that preceded the public announcement of the Merger, as well as Synaptics’ discussions with other potential counterparties in connection with a potential strategic transaction. This summary does not purport to catalogue every conversation or interaction among representatives of Synaptics, onsemi and other 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Synaptics’ senior management regularly review, assess and evaluate Synaptics’ business, operations and financial performance, overall industry conditions and trends, long-term strategic plans and goals, including future growth opportunities and risks in light of business and economic conditions. As part of such ongoing reviews, assessments and evaluations, the Synaptics board and Synaptics’ senior management regularly discuss key drivers of value creation for Synaptics and its stockholders, and have from time to time considered various potential strategic opportunities, including the evaluation of potential opportunities for business combinations, acquisitions, divestitures, joint ventures and other financial and strategic alternatives for Synaptics. The Synaptics board and Synaptics’ senior management have also regularly reviewed the potential risks, uncertainties and benefits of Synaptics remaining an independent public company and pursuing its standalone plan, including, among other things, the substantial ongoing investment required in research and development, investments in go-to-market sales and distribution channels, strategic technology acquisitions, and equity-based talent retention programs, as well as execution risk and competitive pressures inherent in Synaptics’ strategic plan in an evolving semiconductor market, among other factors.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Over the past few years, in consultation with and at the direction of the Synaptics board, Synaptics’ management has, from time to time, engaged in discussions with representatives of other companies regarding such potential opportunities and updated the Synaptics board regarding such discussions in light of the Synaptics board’s prior assessments that Synaptics’ business and its stockholders would reasonably be expected to benefit from such potential opportunities given the nature of the semiconductor industry, the size of larger semiconductor companies relative to Synaptics and the inherent cyclicality of the semiconductor industry, as well as recent and potential future developments in the semiconductor industry.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such previous assessments and discussions, and consistent with their fiduciary duties, the Synaptics board and Synaptics’ senior management have explored potential business combinations in recent years to obtain, among other potential benefits to Synaptics’ business and its stockholders, the benefits of greater scale, none of which assessments and discussions resulted in Synaptics entering into a definitive agreement for consummating any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Beginning in February 2026, as described in greater detail below and following an unsolicited expression of interest in a strategic combination by a strategic bidder referred to in this proxy statement as “Party A,” the Synaptics board undertook a review of potential strategic alternatives, including the possibility that Synaptics remain a standalone public company, which review ultimately culminated in the execution of the Merger Agreement with onsemi.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8" w:name="ny20081083x2_defm14a_113-merger_pg3"/>
        <w:bookmarkEnd w:id="7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12, 2026, following initial business meetings with the chief executive officer of Party A at industry-related events in November 2025 and January 2026, Rahul Patel, President and Chief Executive Officer of Synaptics, again met with Party A’s chief executive officer, during which meeting Party A’s chief executive officer first expressed an interest in exploring an acquisition of Synaptics by Party A. Subsequently, Mr. Patel discussed Party A’s expression of interest with Nelson Chan, chair of the Synaptics board, and other members of Synaptics’ senior management. Based on, among other things, the Synaptics board’s prior assessments of the potential value to Synaptics’ business and its stockholders of a potential business combination and Mr. Patel having previously updated the Synaptics board at a regularly scheduled January 27, 2026, board meeting regarding his initial business meetings with Party A’s chief executive officer, Mr. Patel and Mr. Chan determined to pursue further preliminary engagement with Party A based on its initial expression of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to this determination and given the material non-public information that might need to be shared by both Synaptics and Party A to further explore such interest, Synaptics and Party A promptly entered into a mutual non-disclosure agreement on February 21, 2026. This mutual non-disclosure agreement did not contain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February 25, 2026, the Synaptics board held a special meeting attended by representatives of Synaptics’ senior management, at which Mr. Patel updated the Synaptics board on the status of preliminary discussions with Party A and next steps for potential engagement, including a preliminary management meeting with Party A planned for early March 2026. The Synaptics board authorized Mr. Patel and other representatives of Synaptics to continue such discussions and requested that the Synaptics board receive periodic updates of such discussions. The Synaptics board then addressed the potential selection of a financial advisor in connection with a potential transaction and review of strategic alternatives, and discussed Qatalyst Partners LP’s (“Qatalyst Partners”) strong track record with Synaptics and in the semiconductor industry, and its reputation in comparable processes, and authorized Synaptics management to begin discussions with Qatalyst Partners relating to a possible engagement of Qatalyst Partners as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 2026, Synaptics and Party A conducted a management meeting in which representatives of management from both parties shared high-level information on their respective companies’ businesses, covering topics such as business overview, information on products, technologies, end-markets, organization, and financials. At the conclusion of this management meeting, Party A confirmed that it would assess its initial diligence and consider submitting a non-binding proposal to Synaptics, without confirming whether and when it would do so.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13, 2026, Party A provided Synaptics with a non-binding written letter of interest proposing a potential acquisition of Synaptics by Party A for a mix of cash and stock consideration for $95 per share of Synaptics common stock, with 35% paid in cash and 65% paid in Party A’s publicly listed stock. Synaptics’ senior management provided a copy of the letter of interest to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$73.87 on March 13, 2026. Party A’s March 13 proposal of $95 per share represented premiums of 29%, 19% and 35% to Synaptics’ one-day closing price, 90-day volume-weighted average price (“VWAP”) and last-twelve-month VWAP, respectively, and next-twelve-month revenue and price-to-earnings (“P/E”) multiples of approximately 3.6x and 20.0x,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March 13 and March 16, 2026, Mr. Patel, other members of Synaptics’ senior management and certain members of the Synaptics board, together with representatives of Qatalyst Partners, discussed the March 13 proposal and, informed by a preliminary analysis by Qatalyst Partners and Synaptics’ senior management, determined that the proposal significantly undervalued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March 17, 2026, following this determination, Mr. Patel and Party A’s chief executive officer held a call to discuss Synaptics’ feedback on Party A’s March 13 proposal. During that call, Mr. Patel indicated that the proposed terms reflected in Party A’s letter of interest represented a challenging starting point for any continued engagement and that Party A would need to be more competitive in its valuation for Synaptics to consider further engagement with Party A. The parties discussed several matters bearing on valuation, including Party A’s suggestion of a 90-day VWAP methodology as a reference point for Party A’s and Synaptics’ share prices and Synaptics’ view that such methodology did not adequately reflect Synaptics’ near-term performance trajectory and the estimates of Synaptics’ equity research analyst community. Mr. Patel also indicated that, given the company-specific risks associated with Party A’s business and the resulting uncertainty as to the long-term value of Party A’s stock,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79" w:name="ny20081083x2_defm14a_113-merger_pg4"/>
        <w:bookmarkEnd w:id="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would expect a greater cash consideration component to provide Synaptics stockholders with greater value certainty, and the parties discussed, among other things, Party A’s uncertainty regarding Synaptics’ growth expectations as well as potential top-line synergies from a combination. Party A indicated that its next steps would be discussed internally and with its board of directors.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23, 2026, at the request of Party A’s chief executive officer, Mr. Patel held a follow-up call with Party A’s chief executive officer, during which Party A’s chief executive officer reiterated Party A’s view that a combination of Party A and Synaptics could create a compelling portfolio for customers, but continued to express uncertainty regarding Synaptics’ growth expectations. The parties also discussed the proposed consideration mix for a potential transaction with Party A, including seeking a higher cash component in any consideration package from Party A, potential stockholder perceptions of an acquisition, and Party A’s concern that a predominantly cash offer from Party A might prompt Synaptics to initiate a competitive bidding process that Party A might not wish to participate in. Party A ultimately expressed an interest in making an improved proposal to acquire Synaptics relative to its March 13 proposal, but suggested the parties schedule a follow-up meeting to better understand Synaptics’ future growth expectations and potential transaction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26, 2026, Ken Rizvi, the now-former Senior Vice President and Chief Financial Officer of Synaptics, Satish Ganesan, Chief Strategy Officer of Synaptics, and Party A’s chief financial officer and head of corporate development discussed the benefits of a potential combination between the parties, including preliminary synergy analyses. On March 27, 2026, Party A’s chief executive officer confirmed to Mr. Patel that Party A was preparing a follow-up proposal based on the parties’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March 28, 2026, Mr. Patel and Party A’s chief executive officer spoke again by telephone, continuing to discuss Synaptics’ core engineering capabilities and the strategic merits of a combination, and Party A’s chief executive officer indicated an interest in reverting to Mr. Patel early the following week following internal alignment at Party A on a revised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 2026, at the request of Party A’s chief executive officer, Mr. Patel and Party A’s chief executive officer held a further call regarding an updated transaction proposal that Party A intended to deliver to Synaptics, and Mr. Patel confirmed that he would share any updated proposal with the Synaptics board. Later that day, Party A delivered a revised non-binding letter of interest to Synaptics proposing to acquire Synaptics for a mix of cash and stock consideration for $102.50 per share of Synaptics common stock, with 45% paid in cash and 55% paid in Party A’s publicly listed stock. Synaptics’ senior management provided a copy of the updated letter of interest to the Synaptics board for review and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 price closed at $70.04 on March 31, 2026. Party A’s April 1 proposal of $102.50 per share represented premiums of 46%, 28% and 45% to Synaptics’ one-day closing price, 90-day VWAP and last-twelve-month VWAP, respectively, and next-twelve-month revenue and P/E multiples of approximately 3.9x and 21.6x,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4, 2026, the Synaptics board held a special meeting attended by representatives of Synaptics’ senior management, representatives of Qatalyst Partners, and a representative of Baker &amp; McKenzie LLP, Synaptics’ outside legal counsel (“Baker McKenzie”), which Synaptics had initially engaged promptly following Party A’s initial unsolicited expression of interest in a strategic transaction. At the meeting, the representative of Baker McKenzie reviewed and discussed legal and related process considerations with the Synaptics board, including an overview of Synaptics’ governance documents, its directors’ fiduciary duties and applicable Delaware law in evaluating a potential strategic transaction and Party A’s proposals. In addition, representatives of Qatalyst Partners and Synaptics’ senior management then reviewed and discussed an overview of the semiconductor market environment; various illustrative transaction statistics with respect to Party A’s proposals and varying cash/stock consideration mixes relative to Synaptics’ standalone business proposition; and certain potential strategic alternatives, including an overview of potential counterparties with perceived strategic fit that might be interested in, and capable of executing and consummating, a transaction that would maximize stockholder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selecting potential outreach counterparties for the Synaptics board’s consideration and discussion, Synaptics’ management, in consultation with representatives of Qatalyst Partners, reviewed a broad list of potential acquirors and determined that Party A, together with onsemi and other potential strategic bidders referred to in this proxy statement as “Party B,” “Party C,” “Party D,” “Party E” and “Party F,” would be most likely to execute and consummate a transaction, if at all, that would maximize stockholder value while balancing the risk that contacting additional parties could result in leaks that would be disruptive and distracting to Synaptics, its business and management’s execution of its standalone strategy. Synaptics’ management, in consultation with Qatalyst Partners,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0" w:name="ny20081083x2_defm14a_113-merger_pg5"/>
        <w:bookmarkEnd w:id="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identified such counterparties based on, among other things, their capacity to consummate a transaction with Synaptics; whether such counterparty had expressed interest in the past in a potential transaction with Synaptics; the strategic rationale and potential for synergies and other combination benefits with respect to such counterparty; the extent to which a strategic transaction with such counterparty could reasonably be expected to present regulatory approval risk; and the fact that private equity-backed counterparties would be unlikely to offer greater value to Synaptics stockholders than strategic counterparties based on, among other things, customary financing terms and customary limitations on realizing, and conveying the value of, potential synergies through a business combination.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determined to proceed with further discussions and negotiations with Party A and to authorize senior management and its representatives to contact the additional strategic counterparties for outreach as discussed with Qatalyst Partners and Synaptics’ senior management regarding potential alternative proposals. Further, the Synaptics board approved the formation of a special committee of the Synaptics board (the “special committee”), consisting of Nelson Chan (as chair), Keith Geeslin, and Venkatesh Nathamuni, to oversee and direct Synaptics’ review, negotiation and evaluation of potential strategic transactions, delegating broad authority to, among other things, review and evaluate proposals received, pursue and negotiate transaction terms, supervise process communications, review and approve financial projections for sharing with advisors and potential counterparties, and make recommendations to the full Synaptics board, while expressly reserving to the full Synaptics board the exclusive authority to approve or reject any potential transaction. The decision to form the special committee was for convenience and not the result of any actual or perceived conflict of interest of any member of the Synaptics board. The Synaptics board also formally approved the engagement of Qatalyst Partners as financial advisor to Synaptics. Synaptics selected Qatalyst Partners to act as financial advisor to Synaptics based on Qatalyst Partners’ qualifications, expertise, reputation and knowledge of the business and affairs of Synaptics and the industry in which it operates. Synaptics and Qatalyst Partners subsequently entered into a formal engagement letter on April 7, 2026, pursuant to which Qatalyst Partners was retained as Synaptics’ financial advisor in connection with the Synaptics board’s evaluation of potential strategic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Mr. Patel and Party A’s chief executive officer held a call, during which Mr. Patel conveyed that the Synaptics board had not yet made a decision regarding Party A’s updated April 1 letter of interest and characterized the updated proposal as representing only a marginal increase over Party A’s prior proposal. Mr. Patel also informed Party A that Synaptics intended to finalize a Synaptics board-approved financial plan before further responding to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6, 2026, and April 7, 2026, at the direction of the Synaptics board, representatives of Qatalyst Partners initiated outreach to onsemi and Parties B through F to solicit such counterparties’ interest in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7, 2026, Mr. Rizvi held a call with Thad Trent, Chief Financial Officer of onsemi, informing him that Synaptics had received acquisition interest and encouraging onsemi to engage in consideration of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8, 2026, the special committee held a meeting, with members of Synaptics’ senior management and a representative of Baker McKenzie in attendance, and received an update on (i) the engagement of Qatalyst Partners as Synaptics’ financial advisor; (ii) the status of discussions with Party A; and (iii) the status of the outreach to other potential strategic counterparties, including onsemi. The special committee also discussed a preliminary proposed process timeline, including the management meeting schedule with various strategic counterparties, timing of a formal response to Party A, and target dates for receiving indications of interest, and a preliminary regulatory analysis of a potential transaction. The special committee deliberated and reached a consensus to proceed on the proposed timeline discussed in the meeting to maximize the opportunity for Synaptics to obtain competitive proposals by continuing to pursue an improved offer from Party A while continuing to engage with other potential strategic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10, 2026, Mr. Trent held a call with representatives of Qatalyst Partners to discuss Synaptics’ process and timeline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part of the counterparty outreach process, Synaptics entered into mutual non-disclosure agreements with potential strategic bidders, including with Party B on April 10, 2026, with onsemi on April 13, 2026, with Party C on April 14, 2026, and with Party D on April 16, 2026. All non-disclosure agreements were negotiated with such counterparties and included a customary standstill provision, which included customary fall-away provisions, including in the event a definitive agreement for a business combination were to be executed by Synaptics. Neither Party E nor Party F ultimately entered into a non-disclosure agreement with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1" w:name="ny20081083x2_defm14a_113-merger_pg6"/>
        <w:bookmarkEnd w:id="8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13, 2026, the chief executive officer of Party F communicated to Mr. Patel that it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15, 2026, Mr. Patel held a call with Party A’s chief executive officer, during which the parties discussed general business conditions and timing considerations related to quarterly financial results. Mr. Patel noted that Party A’s financial advisor would receive feedback from Qatalyst Partners the following week regarding Synaptics’ position regarding Party A’s proposals. The parties also discussed that Party A had formed a transaction committee at the board level and had developed preliminary diligence questions to support an efficient process if discussions continued to progress.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15, 2026, the special committee held a special meeting, together with members of Synaptics’ senior management and representatives from Qatalyst Partners and Baker McKenzie, to review Synaptics’ standalone financial plan and projections, which are referred to in this proxy statement as the “Synaptics Management Projections” and summarized in the section titled “—Certain Unaudited Prospective Financial Information.” The Synaptics Management Projections had been developed by Synaptics management on the basis of, and as a further update to and development of,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that meeting, Synaptics’ senior management presented and discussed the Synaptics Management Projections, including projected revenue growth from fiscal year 2026 through fiscal year 2032, segment growth expectations, margin expansion, and key assumptions and risks. The special committee questioned and discussed the projections’ assumptions, including revenue upside scenarios, customer concentration, product line treatment, post-fiscal year 2027 revenue stream risks, plan achievability, and potential cost reduction and pricing opportunities. Representatives of Qatalyst Partners also provided an update on the latest status on the outreach process and reviewed the key terms of Party A’s revised April 1, 2026, proposal and related valuation and premium metrics. Representatives of Qatalyst Partners discussed considerations relevant to a mixed cash and stock consideration structure, including value certainty versus upside participation, strategic fit, and the potential requirement for a Party A stockholder vote. Representatives of Qatalyst Partners presented preliminary financial analyses including standalone valuation and pro forma combined financials, valuation sensitivities at different price and consideration scenarios, potential collar structures to mitigate stock-price volatility, and precedent semiconductor transaction statistics.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whether to continue pursuing Synaptics’ standalone plan as reflected in the Synaptics Management Projections versus further engagement with Party A and other strategic counterparties, weighing factors including value certainty, growth prospects, execution risks, valuation ranges, leverage implications, anticipated stockholder reaction, and process timing, in light of the Synaptics board’s objective to provide maximum value to Synaptics stockholders. In discussing whether to continue to pursue the standalone plan, the special committee considered the risks and uncertainties of remaining an independent company, including substantial ongoing investment required in research and development, investments in go-to-market sales and distribution channels, strategic technology acquisitions, equity-based talent retention programs and execution risk, and competitive pressures in Synaptics’ strategic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approved the Synaptics Management Projections for use in connection with Synaptics’ strategic review process, including for use by Qatalyst Partners in connection with its financial analyses and opinion, and directed Synaptics’ senior management and advisors to distribute the Synaptics Management Projections to the full Synaptics board in advance of the Synaptics board’s scheduled April 17, 2026,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15, 2026, Synaptics held an in-person management meeting with Party B to discuss an overview of Synaptics, including products and technology capabilities, market opportunities, organization and operations, and financial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16, 2026, Mr. Trent held a call with Mr. Patel to discuss proposed topics and an agenda for the upcoming management meeting, as well as process considerations for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17, 2026, Synaptics held a virtual management meeting with Party C to discuss a similar overview of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Synaptics board held a special meeting at which Mr. Rizvi reviewed with the Synaptics board the special committee-approved Synaptics Management Projections. Synaptics’ senior management also updated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2" w:name="ny20081083x2_defm14a_113-merger_pg7"/>
        <w:bookmarkEnd w:id="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on the status of outreach to additional strategic counterparties, including that a management meeting with Party B had been held on April 15, 2026, a management meeting with Party C had been held earlier that day, a management meeting with onsemi was scheduled for later that day, and a management meeting with Party D was in process of being scheduled. Synaptics’ senior management shared that Party F had indicated it would not pursue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Synaptics held an in-person management meeting with representatives of onsemi, together with representatives of Qatalyst Partners and representatives of Morgan Stanley &amp; Co. LLC (“Morgan Stanley”), financial advisor to onsemi, to discuss a similar overview of Synaptics as with Party B and Party C. At the end of the meeting, onsemi requested, as part of its diligence review, a follow-up meeting to further discuss Synaptics’ Edge AI capabilities.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April 17, 2026, the special committee held a special meeting, with representatives from Synaptics’ senior management and representatives of Qatalyst Partners and Baker McKenzie in attendance, and discussed the proposed approach to responding to Party A and the anticipated timeline for receiving competitive offers from other potential counterparties that had been contacted by representatives of Qatalyst Partners. At the special meeting, after discussion, the special committee directed Synaptics’ senior management and representatives of Qatalyst Partners to communicate to Party A on April 20, 2026, that Synaptics was prepared to consider a potential transaction at a headline price of $120 per share and that Synaptics remained interested in a higher cash portion in the proposed consideration mix. The special committee also directed Synaptics’ senior management and representatives of Qatalyst Partners to continue to engage with onsemi, Party B, Party C, Party D and Party 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17, 2026, representatives of Qatalyst Partners and Party B held a call to schedule a follow-up management meeting to discuss potential synergies and other matters raised by Party B during its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20, 2026, at the direction of the special committee, representatives of Qatalyst Partners delivered the counterproposal to representatives of Party A’s financial advisor, with a headline price of $120 per share and a higher cash portion in the proposed consideration mix, and indicated that Synaptics’ senior management was available to meet with Party A to provide an update on Synaptics’ standalone financial plan and to address additional business diligence requests.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21, 2026, representatives of Qatalyst Partners and Party B held a call to discuss the timing of the overall process and the importance of a follow-up management meeting, which was scheduled for April 22, 2026. Also on April 21, 2026, representatives of Qatalyst Partners held separate calls with Party C to discuss the timing of the overall process and with Mr. Trent to discuss onsemi’s follow-up diligence requests and the timing of the overall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22, 2026, the special committee held a special meeting, joined by members of Synaptics’ senior management, and discussed the overall status of the proposed offer from Party A and outreach to potential strategic counterparties. Mr. Patel further updated the committee on the status of outreach efforts and upcoming management meetings with potential counterparties. On the same day, Mr. Patel and the chief executive officer of Party A held a meeting to discuss Party A’s plans for next steps with respect to a proposed transaction.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April 22, 2026, Synaptics held a follow-up management meeting with Party A to provide Party A with an updated management plan and additional information regarding Synaptics’ business. On the same day, Synaptics held a follow-up management meeting with Party B to discuss potential synergies and other matters raised by Party B during its diligence review. Also on the same day, Synaptics held a virtual management meeting with Party D to discuss a similar initial overview of Synaptics as with onsemi and Parties A through 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24, 2026, Synaptics and onsemi held a follow-up management meeting with representatives of Morgan Stanley and Qatalyst Partners in attendance, to address follow-up diligence requests raised by onsemi and to discuss various aspects of Synaptics’ business, including Synaptics’ artificial intelligence solutions. Later that day, representatives of Morgan Stanley and Qatalyst Partners discussed certain process considerations for a transaction, and the representative of Qatalyst Partners conveyed Synaptics’ desire to receive a proposal by the end of the month.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27, 2026, at the direction of the Synaptics board, representatives of Qatalyst Partners followed up with Party E regarding its level of interest in pursuing a transaction. Party E informed representatives of Qatalyst Partners that, due to strategic fit concerns and the valuation reflected in Synaptics’ then-current stock price, it had decided not to pursue a potential acquisition of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3" w:name="ny20081083x2_defm14a_113-merger_pg8"/>
        <w:bookmarkEnd w:id="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28, 2026, the Synaptics board held a regular meeting at Synaptics’ offices in San Jose, California, at which the strategic review process was discussed. At the meeting, Mr. Patel and Mr. Rizvi led a strategy session concerning the ongoing review of strategic alternatives with the Synaptics board and representatives of Qatalyst Partners participating. The Synaptics board discussed recent developments, valuation and market considerations, process updates, and related strategic alternatives. The discussion was for informational and deliberative purposes, and no specific further action was authorized by the Synaptics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April 29, 2026, Party B informed Synaptics that, although it viewed Synaptics’ management presentation positively, Party B had decided not to pursue a potential acquisition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Separately, on April 29, 2026, representatives of Qatalyst Partners spoke to representatives of onsemi and Morgan Stanley, during which discussion representatives of onsemi expressed interest in a potential transaction and indicated that it was in the process of reviewing diligence materials and performing its financial analysis; however, if onsemi were to submit a formal proposal, it would likely occur following Synaptics’ upcoming quarterly earnings announcement on May 7,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Later that day, representatives of Qatalyst Partners provided Synaptics with an update regarding the discussions with onsemi.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April 30, 2026, Party C and Party D each informed representatives of Qatalyst Partners that they had elected not to pursue a potential transaction with Synaptics due to strategic fit concerns, which Qatalyst Partners subsequently communicated to Synaptics later that day.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 2026, representatives of Qatalyst Partners delivered to Synaptics Qatalyst Partners’ relationship disclosure letter, which was subsequently provided to the Synaptics board and the special committee and did not disclose any issues of note.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7, 2026, Synaptics reported third quarter fiscal 2026 results after market close. The following day, Synaptics’ stock price closed up 19% over its May 7 closing price.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11, 2026, representatives of onsemi discussed with representatives of Qatalyst Partners the implications on a potential transaction of the recent movement in Synaptics’ stock price, which had risen considerably since commencement of the process. Representatives of onsemi indicated that it would keep Synaptics apprised of its interest, without committing to a specific timeline for submitting a proposal. Synaptics’ stock price closed at $126.55 on May 11, 2026, up 74% since April 1,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13, 2026, representatives of Qatalyst Partners and representatives of Party A’s financial advisor spoke in a virtual meeting, where representatives of Party A’s financial advisor expressed concern about the significant rise in Synaptics’ stock price and communicated that Party A was continuing to have internal discussions to explore options for a potential transaction; however, representatives of Party A’s financial advisor made no commitment as to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or about May 18, 2026, Mr. Trent contacted Mr. Patel and Hassane El-Khoury, the Chief Executive Officer and President of onsemi, to introduce the parties and to suggest a direct CEO-to-CEO discussion.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or about May 19, 2026, Mr. Patel and Mr. El-Khoury spoke by telephone. During that call, Mr. El-Khoury informed Mr. Patel that onsemi was working toward a formal acquisition proposal. Mr. Patel and Mr. El-Khoury discussed the strategic rationale for a transaction and proposed deal structure, with Mr. Patel indicating that the Synaptics board’s preference was for all-cash consideration, but that the Synaptics board would evaluate the overall terms of any proposal based on what would maximize value for Synaptics’ stockholders. The parties also discussed potential synergies achievable through a combination and a possible post-closing operating model pursuant to which Synaptics would be maintained as a separate operating division within onsemi’s corporate structure.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19, 2026, at the direction of Synaptics’ senior management, representatives of Qatalyst Partners called representatives of Party A’s financial advisor.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Mr. El-Khoury contacted Mr. Patel to preview, and subsequently delivered to Mr. Patel, a non-binding written letter of interest proposing a potential acquisition of Synaptics by onsemi in an all-stock transaction with a fixed exchange ratio of 1.340 shares of onsemi common stock for each share of Synaptics common stock. Mr. El-Khoury noted that the onsemi board was not willing to consider a transaction that involved a meaningful cash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4" w:name="ny20081083x2_defm14a_113-merger_pg9"/>
        <w:bookmarkEnd w:id="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component. The proposal also included that Synaptics’ representation on the onsemi board should appropriately reflect the Synaptics stockholders’ pro forma ownership in the combined company and that the parties would work to develop appropriate employee retention plans. Mr. El-Khoury also attached a draft exclusivity agreement requesting a 28-day exclusivity period and materials discussing the strategic and financial rationale for a transaction between the parties. Mr. Patel and Mr. El-Khoury spoke again the next day, and Mr. Patel indicated that he would discuss onsemi’s letter of interest with the special committee.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27, 2026, Synaptics’ stock price closed at $141.64, and onsemi’s stock price closed at $124.89. Based on onsemi’s closing price on May 27, 2026, its proposal implied a notional price per Synaptics share of $167.35, which represented premiums of 18%, 82% and 106% to Synaptics’ one-day closing price, 90-day VWAP and last-twelve-month VWAP, respectively, and next-twelve-month revenue and P/E multiples of approximately 5.9x and 32.2x,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28, 2026, the special committee held a special meeting, with representatives from Synaptics’ senior management and representatives of Qatalyst Partners in attendance. Mr. Patel provided an overview of his recent discussions with Mr. El-Khoury regarding a potential strategic transaction, including the delivery of a proposal by onsemi. Representatives of Qatalyst Partners reviewed the principal terms of onsemi’s proposal, including that the proposed exchange ratio was expected to result in Synaptics stockholders owning approximately 12% of onsemi following consummation of the transaction and would not require a stockholder vote of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discussed key considerations regarding an all-stock transaction structure including (i) the potential risks associated with stock price volatility of Synaptics stock and onsemi stock between signing and closing, (ii) how recently and over a long period of time, Synaptics and onsemi traded fairly consistently from a forward earnings multiple perspective, and (iii) the liquid nature of onsemi’s stock. Representatives of Qatalyst Partners also provided an update on recent interactions with representatives of Party A’s financial advisor, and noted that in light of the significant increase in Synaptics’ stock price, Party A had not made any commitment as to whether or when it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discussed the strategic rationale for a transaction with onsemi, including onsemi’s recent efforts to improve profitability and margin profile, as well as potential synergies from a combination. The special committee also identified the overlap in the investor bases of Synaptics and onsemi and the implications of such overlap for investor reception and transaction execution. The special committee further discussed the form of consideration and considered whether to request a cash component or to ask for a higher exchange ratio.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special committee determined to request a management presentation from onsemi to better understand onsemi’s transformation strategy and its plan for achieving the anticipated synergies, and discussed communicating to onsemi Synaptics’ willingness to move expeditiously and the potential to convene a meeting of the full Synaptics board to consider Synaptics’ response to the proposal. Mr. Patel requested approval from the special committee to bring in additional Synaptics team members to assist with fully populating a data room by early the following week. The special committee approved such request.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28, 2026, Mr. Patel and Mr. El-Khoury spoke by telephone, during which they discussed, among other things, the special committee’s prior meeting, with Mr. Patel indicating that he would present onsemi’s proposal to the Synaptics board, and potential synergy opportunities that a transaction could provide. Mr. Patel also relayed the special committee’s request for a management presentation from onsemi to Synaptics, with the option for Synaptics’ special committee members to be in attendance. Mr. El-Khoury agreed to the request as well as participation by Synaptics’ special committee members. In a subsequent conversation later that day, Mr. El-Khoury expressed his preference for an interactive discussion format and noted that onsemi’s presentation would include financial data based only on publicly available estimates, including market analyst projections for onsemi’s future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May 28, 2026, at the direction of Synaptics’ senior management, representatives of Qatalyst Partners informed representatives of Party A’s financial advisor that Synaptics had received an acquisition proposal from another party. Representatives of Party A’s financial advisor provided no update on whether or when Party A would provide a response to Synaptics’ April 20, 2026,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29, 2026, Synaptics and onsemi held a management meeting together with two of Synaptics’ special committee members and representatives of Qatalyst Partners and Morgan Stanley. The discussion covered an overview of onsemi’s business and strategic plan, including market analyst projections for onsemi’s future performance. In the presentation, onsemi senior management highlighted onsemi’s recent transformation, its product portfolio, market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5" w:name="ny20081083x2_defm14a_113-merger_pg10"/>
        <w:bookmarkEnd w:id="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opportunity in AI data centers, front-end and back-end manufacturing capabilities, channel reach, and gross margin roadmap. onsemi senior management and representatives of Synaptics and Qatalyst Partners also discussed market analyst estimates for onsemi. Synaptics management determined that such estimates were a reasonable representation of onsemi’s near-term financial performance, and onsemi senior management agreed with that assessment.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May 31, 2026, the special committee held a special meeting, joined by representatives from Synaptics’ senior management, and representatives of Qatalyst Partners and Baker McKenzie. The special committee discussed, among other matters, seeking an improved exchange ratio, whether to seek a cash component to the consideration, the benefits and risks associated with a fixed exchange ratio, including whether to attempt to negotiate for a collar mechanism to protect against downside risk of changes in onsemi’s stock price between signing and closing, and the potential to defer such a negotiation until closer to the signing of any transaction. The special committee also reviewed collar mechanisms across precedent stock transactions, including the relative infrequency of such mechanisms as well as the limited downside protection typically provided by such mechanisms. The special committee also discussed the strategic rationale of a transaction, including potential synergies and certain financial metrics and considerations with respect to a transaction. Following this discussion, the special committee unanimously determined that seeking cash consideration from onsemi was unlikely to be productive and that seeking a higher absolute exchange ratio was more likely to maximize stockholder value than a collar mechanism.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this determination, the special committee instructed Synaptics’ management and Qatalyst Partners to counter onsemi’s proposal with an exchange ratio of 1.450.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May 31, 2026, the Synaptics board held a special meeting, with representatives from Synaptics’ senior management and representatives of Qatalyst Partners and Baker McKenzie in attendance. Representatives of Qatalyst Partners presented their preliminary financial analyses of onsemi’s offer, which had been circulated to the Synaptics board in advance of the meeting. The presentation included (i) an overview of onsemi’s May 27, 2026, proposal, including its proposed all-stock exchange ratio of 1.340, key terms relating to governance, proposed employee retention, anticipated regulatory approvals, and onsemi’s requested 28-day exclusivity period; (ii) a trading update for Synaptics, onsemi, and selected semiconductor peer groups since the initial Party A proposal on March 13, 2026, including relative stock price performances and exchange ratio trends; (iii) illustrative Synaptics valuation statistics at various exchange ratios, including implied premiums to current and historical trading prices and exchange ratios; (iv) benchmarking of onsemi’s proposal against selected precedent public semiconductor transactions; (v) preliminary perspectives on Synaptics’ standalone valuation; (vi) an overview of onsemi, including its revenue breakdown, trading performance, analyst price targets, and long-term financial targets; (vii) a preliminary pro forma combined company P&amp;L analysis; and (viii) an illustrative pro forma earnings per share accretion/dilution analysis at various exchange ratios.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discussed Qatalyst Partners’ preliminary financial analyses. The Synaptics board inquired about, among other things, potential headroom to negotiate a more favorable exchange ratio with onsemi, as well as the challenges inherent in executing an all-stock transaction in light of the significant recent run-up in stock prices across the semiconductor sector. Mr. Patel noted that Synaptics’ stock price had appreciated meaningfully over the preceding month and observed that the valuation implied by onsemi’s proposed exchange ratio appeared favorable to Synaptics stockholders. Mr. Patel further observed that the Synaptics stockholders would have the opportunity to participate in potential further upside through their ownership of onsemi stock in the combined entity. Representatives of Qatalyst Partners then discussed potential strategies for negotiating and seeking to improve upon the exchange ratio proposed by onsemi. The Synaptics board also discussed the risk that, in an all-stock transaction, the notional value of the consideration received by the Synaptics stockholders would be inherently tied to onsemi’s stock price, and the associated challenge of protecting against stock price volatility between signing and closing, including the infrequency and limited downside protection typically provided by collar mechanisms.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the Synaptics board unanimously authorized the special committee, in its sole discretion, to: (i) formulate, propose, and deliver to onsemi a counterproposal with respect to the exchange ratio or other terms of the proposed transaction on such terms and conditions as the special committee may determine to be advisable and in the best interests of Synaptics and its stockholders; and (ii) negotiate, approve, and cause Synaptics to enter into an exclusivity agreement with onsemi on such terms and for such duration as the special committee may determine to be advisable and in the best interests of Synaptics and its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on May 31, 2026, Mr. Patel and Mr. El-Khoury had a series of phone calls, during which Mr. Patel conveyed Synaptics’ counterproposal requesting an exchange ratio of 1.450, intended to represent an approximately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6" w:name="ny20081083x2_defm14a_113-merger_pg11"/>
        <w:bookmarkEnd w:id="8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28% premium to Synaptics’ 10-day VWAP, towards maximizing the value provided to Synaptics stockholders. Mr. El-Khoury reiterated the strategic rationale for a transaction and the strength of onsemi’s original offer and indicated that he would present Synaptics’ counterproposal to the onsemi board.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 2026, Mr. El-Khoury called Mr. Patel and communicated that the best proposal onsemi could offer was an all-stock transaction with a fixed exchange ratio of 1.350 shares of onsemi common stock for each share of Synaptics common stock, which proposal was subsequently confirmed in writing in a non-binding proposal on June 2, 2026, and also included that Synaptics’ representation on the onsemi board should appropriately reflect the Synaptics stockholders’ pro forma ownership in the combined company, and reiterated the strategic rationale for a transaction. Mr. Patel also conveyed Synaptics’ general willingness to enter into a reasonable exclusivity period to finalize diligence and execute a definitive agreement to consummate the proposed transaction, noting that a virtual data room had been prepared. On June 1, 2026, Synaptics’ stock price closed at $134.93, and onsemi’s stock price closed at $120.92. Based on onsemi’s closing price on June 1, 2026, onsemi’s proposal implied a notional price per Synaptics share of $163.24, which represented premiums of 21%, 74% and 98% to Synaptics’ one-day closing price, 90-day VWAP and last-twelve-month VWAP, respectively, and next-twelve-month revenue and P/E multiples of approximately 5.7x and 31.4x,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1, 2026, the special committee held a special meeting with representatives from Synaptics’ senior management and representatives of Qatalyst Partners and Baker McKenzie in attendance. Mr. Patel updated the special committee on his recent communications with Mr. El-Khoury, including Mr. El-Khoury’s indication that the best proposal onsemi could offer was an all-stock transaction at a fixed exchange ratio of 1.350, and onsemi’s request for exclusivity. onsemi’s proposal reiterated that Synaptics’ representation on the onsemi board should appropriately reflect the Synaptics stockholders’ pro forma ownership in the combined company and that the parties would work to develop appropriate employee retention plans. Mr. Patel noted that he had also discussed with Mr. El-Khoury a potential cash and stock transaction to reduce value volatility to Synaptics stockholders resulting from changes in onsemi’s stock price, but that Mr. El-Khoury emphasized that onsemi was only prepared to offer stock consideration. Mr. Patel explained to the special committee his belief that Synaptics may be better served by moving into the confirmatory diligence stage at an exchange ratio of 1.350, with the opportunity to review the parties’ relative stock prices closer to signing. The special committee discussed the update and Mr. Patel’s views about potential responses on the mix of consideration and the length of the due diligence period. Representatives of Qatalyst Partners provided a preliminary financial analysis of the potential premium provided and possible strategies for achieving the best result for Synaptics and Synaptics stockholders in the sale process.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discussion and based on the prior negotiations and discussions between Synaptics and onsemi, the special committee approved (i) granting exclusivity to onsemi on the basis of the then-currently proposed 1.350 stock-for-stock exchange ratio, noting the possibility of further negotiating that ratio closer to the signing date, though potentially with reduced leverage due to entering into exclusivity, and (ii) a two-week exclusivity period, with an additional week of exclusivity at onsemi’s written notice, subject to onsemi continuing to pursue the proposed transaction in good faith.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Mr. Patel conveyed to Mr. El-Khoury that Synaptics was willing to enter into exclusive negotiations with onsemi on the basis of the proposed exchange ratio of 1.350, discussed potential timing for announcing a potential transaction, and discussed next steps on confirmatory due diligence.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 2026, Synaptics and onsemi entered into an exclusivity agreement (the “Exclusivity Agreement”), pursuant to which Synaptics agreed, among other things, that until June 18, 2026, at 11:59 p.m., Pacific Time (extendible by onsemi for one additional seven-day period upon written notice to Synaptics, so long as onsemi was continuing to pursue a proposed transaction in good faith), Synaptics would negotiate exclusively with onsemi with respect to a potential acquisition transaction, and that Synaptics would immediately cease any existing discussions or negotiations with any other party with respect to any acquisition proposal, which restrictions Synaptics viewed as reasonable in light of the other parties with which it had been in discussions electing not to submit further proposals and not unduly burdening Synaptics’ ability to negotiate a potential competitive offer, should one arise, in light of the relatively limited exclusivity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at about the time that Synaptics and onsemi entered into the Exclusivity Agreement, Party A’s chief executive officer sent a text message to Mr. Patel inquiring only whether Mr. Patel was attending a certain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7" w:name="ny20081083x2_defm14a_113-merger_pg12"/>
        <w:bookmarkEnd w:id="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conference, with Mr. Patel responding only that he was in a different city attending a different conference at that time and making no reference to any acquisition proposal or any discussion or negotiation with Party A. At such time, Party A had not reached out or provided any update to Synaptics as to whether Party A was still considering a potential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 2026, representatives of Baker McKenzie provided an initial draft Merger Agreement to representatives of Skadden, Arps, Slate, Meagher &amp; Flom LLP (“Skadden”), outside legal counsel to onsemi, and on June 3, 2026, virtual data room access was provided to onsemi and its representatives. Later that day on June 3, 2026, Synaptics received a confirmatory due diligence request list from onsemi. The parties entered into a customary “clean team” agreement on June 4, 2026, to facilitate the sharing of sensitive non-public information that would be appropriately segmented from the larger due diligence process, following which certain representatives of onsemi and its representatives obtained access to a clean team data room to facilitate diligence review.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Between June 2, 2026, through the signing of the Merger Agreement on June 25, 2026, representatives of Synaptics and onsemi, as well as Baker McKenzie and Skadden, negotiated the terms of the Merger Agreement and finalized the various schedules thereto, with the parties negotiating, among other things, the parties’ respective obligations to obtain regulatory approval for the Merger and the appropriate outside date, including the amount of the regulatory termination fee that would be payable by onsemi in the event regulatory approvals are not obtained (referred to in this proxy statement as the onsemi Regulatory Termination Fee), the termination fee payable by Synaptics in certain circumstances related to a change in recommendation or superior proposal (referred to in this proxy statement as the Synaptics Termination Fee) and customary “non-solicit” provisions restricting Synaptics from soliciting or encouraging alternative acquisition proposals, subject to customary fiduciary-out exceptions, in each case that would not unreasonably interfere with or financially burden Synaptics’ ability to enter into discussions regarding another superior transaction before receiving stockholder approval for the onsemi transaction, the scope of the interim operating covenants by which Synaptics would be bound between signing and closing and certain negotiated exceptions thereto, the treatment of employee equity awards and employee retention-related matters, closing certainty, and general retention programs for Synaptics employees to support business continuity through closing. The parties also negotiated the representation of former Synaptics stockholders on the onsemi board post-closing based on Synaptics’ stockholders estimated pro forma post-closing ownership of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5, 2026, Mr. Patel and Mr. El-Khoury met in person and discussed the overall transaction and potential signing timing, as well as the potential synergies and structural organization for the combined company.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June 10, 2026, through June 19, 2026, Synaptics and onsemi also held a series of detailed due diligence sessions with respect to Synaptics, including with representatives of Morgan Stanley, J.P. Morgan Securities LLC (“J.P. Morgan”), financial advisor to onsemi, and Qatalyst Partners, covering technology, business and strategy, synergies, sales, operations, legal, accounting, finance, IT, marketing, human resources and 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12 and June 13, 2026, following the parties’ management meetings, Mr. Patel and Mr. El-Khoury discussed next steps with respect to the proposed transaction, including arranging a discussion between the parties’ leadership teams around potential synergies, addressing open issues in the Merger Agreement, including with respect to deal certainty, regulatory commitments and the treatment of employee equity awards and employee retention-related matters, and coordinating communications planning.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June 16, 2026, the special committee held a special meeting, with representatives from Synaptics’ senior management and representatives of Qatalyst Partners and Baker McKenzie in attendance. At the meeting, representatives of Qatalyst Partners provided an update on the due diligence process. A representative of Baker McKenzie also provided an update on the status of the Merger Agreement, including principal open issues in the Merger Agreement, and the current status of reverse due diligence of onsemi.</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Qatalyst Partners also provided an update on the recent trading performance of Synaptics and onsemi shares and reviewed the updated implied transaction economics of onsemi’s proposal. On June 15, 2026, Synaptics’ stock price closed at $140.23, and onsemi’s stock price closed at $125.90. Based on onsemi’s closing price on June 15, 2026, onsemi’s proposal implied a notional price per Synaptics share of $169.97, which represented premiums of 21%, 71% and 97% to Synaptics’ one-day closing price, 90-day VWAP and last-twelve-month VWAP, respectively, and next-twelve-month revenue and P/E multiples of approximately 5.9x and 32.5x, respectively.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8" w:name="ny20081083x2_defm14a_113-merger_pg13"/>
        <w:bookmarkEnd w:id="8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also inquired as to whether there had been any further contact from Party A. Mr. Patel reported that the last contact occurred when he received a text message from Party A’s chief executive officer on June 2 as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on June 16, 2026, Synaptics and onsemi held a reverse due diligence meeting with respect to onsemi with representatives of Morgan Stanley, J.P. Morgan and Qatalyst Partners. The meeting covered numerous matters related to onsemi, including its organization, strategic plan, recent transformation strategy, technology portfolio, business segments, manufacturing capabilities and strategies, and various financial matters, including inventory reserves, restructuring activities, gross margin expansion roadmap, cash flow profile, and market analyst estimates for onsemi’s future projected performance.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17, 2026, pursuant to the terms of the Exclusivity Agreement, onsemi extended the exclusivity period for an additional seven-day period, until June 25, 2026, at 11:59 p.m., Pacific Time, by providing written notice to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19, 2026, Synaptics and onsemi held a meeting with representatives of Morgan Stanley, J.P. Morgan and Qatalyst Partners to discuss potential synergies between the two companies and additional diligence questions from onsemi on Synaptics’ business. Discussions included the scope and magnitude of potential cost reductions across various operating expense categories and cost of goods sold, as well as an assessment of additional areas where the transaction could better address evolving customer requirements and deliver additional value to customers.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June 21, 2026, the Synaptics board, with all members of the special committee in attendance, held a special meeting, with representatives from Synaptics’ senior management and representatives of Qatalyst Partners and Baker McKenzie in attendance, to review the status of negotiations with onsemi and Qatalyst Partners’ preliminary financial analyses of the proposed transaction based on updated Synaptics and onsemi share trading activity.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June 21, 2026, following the Synaptics board meeting, Mr. Patel and Mr. El-Khoury spoke by phone regarding, among other things, the status of the proposed transaction, including communications planning in connection with the announcement of the proposed transaction, the assumptions underlying the anticipated synergies, and potential employee retention costs and their impact on anticipated synergies.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the morning of June 25, 2026, the special committee and the Synaptics board held a joint special meeting, with representatives from Synaptics’ senior management and representatives of Qatalyst Partners and Baker McKenzie in attendance. At the meeting, Mr. Patel provided an update on final negotiations with onsemi. Representatives of Qatalyst Partners then presented updated financial analyses of the proposed transaction. On June 24, 2026, Synaptics’ stock price closed at $130.11, and onsemi’s stock price closed at $115.74. Based on onsemi’s closing price on June 24, 2026, onsemi’s proposal implied a notional price per Synaptics share of $156.25, which represented premiums of 20%, 53% and 78% to Synaptics’ one-day closing price, 90-day VWAP and last-twelve-month VWAP, and next-twelve-month revenue and P/E multiples of approximately 5.6x and 30.8x, respectively. At the conclusion of the presentation, Qatalyst Partners rendered to the Synaptics board its oral opinion, which was confirmed by delivery of a written opinion dated June 25, 2026, to the effect that, based upon and subject to the various assumptions, qualifications, limitations and other matters set forth therein, as of the date thereof, the exchange ratio to be received by the holders of shares of Synaptics common stock (other than onsemi or any affiliate of onsemi) pursuant to, and in accordance with, the terms of the Merger Agreement (prior to the changes reflected in the October 1 amendments), was fair, from a financial point of view, to such holders. Prior to the meeting, representatives of Qatalyst Partners had provided Synaptics with a letter disclosing its relationships, if any, with onsemi and its majority-owned subsidiaries of which Qatalyst Partners were aware, which did not disclose any issues of note, and a copy of which was reviewed by representatives of Baker McKenzie and provided to the Synaptics board and the special committee prior to the meeting. Representatives of Baker McKenzie then reviewed the terms of the Merger Agreement and summarized key final developments, the amount of the onsemi Regulatory Termination Fee payable to Synaptics if onsemi fails to obtain required regulatory approvals, and the scope of the interim operating covenants by which Synaptics would be bound. Following these presentations, the special committee and the Synaptics board discussed the foregoing and other matters with representatives from Synaptics’ senior management and representatives of Qatalyst Partners and Baker McKenzie.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such discussion, the special committee unanimously recommended that the Synaptics board approve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its own careful consideration and taking into account the recommendation of the special committee, the Synaptics board unanimously (i) authorized and approved the execution, the delivery and, subject to the receipt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89" w:name="ny20081083x2_defm14a_113-merger_pg14"/>
        <w:bookmarkEnd w:id="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Required Synaptics stockholder vote, performance of the Merger Agreement and the consummation of the Merger by the Company; (ii) determined that the Merger Agreement and the transactions contemplated by the Merger Agreement, including the Merger, are fair to and in the best interests of the Company and its stockholders; (iii) approved and declared advisable the Merger Agreement and the transactions contemplated by the Merger Agreement, including the Merger, and (iv) directed that the Merger Agreement be submitted to a vote of the Company’s stockholders, recommended that the Company’s stockholders adopt and approve the Merger Agreement and the transactions contemplated thereby, including the Merger and resolved to include such Company board recommendation in the initial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Synaptics board’s approval, and following the onsemi board’s earlier approval of the Merger and the Merger Agreement, on June 25, 2026, after the close of trading, the parties executed and delivered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late afternoon of June 25, 2026, New York City time, after the close of trading on June 25, 2026, Synaptics and onsemi issued a joint press release announcing the execution of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June 25, 2026, Qatalyst Partners sent a letter, on behalf of Synaptics, to Party A’s financial advisor, requesting that Party A return all non-public information that was previously furnished or made available to it and its representatives, and terminated all data room access previously granted to it, in accordance with the terms of the Merger Agreement. The representative from Party A’s financial advisor confirmed receipt of the letter.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September 2, 2026, Party A’s chief executive officer sent an unsolicited text message to Mr. Patel stating that Party A would submit an unsolicited, non-binding acquisition proposal to Synaptics. Later during the morning of September 2, 2026, Synaptics received an unsolicited, non-binding acquisition proposal from Party A to acquire all of the issued and outstanding capital stock of Synaptics in a cash-and-stock transaction for consideration consisting of $55.00 per share in cash and a fixed number of shares of Party A common stock for each common share of Synaptics (the “Outside Proposal”), representing a total implied notional value of $118.15 per share based on the closing price of Party A common stock as of September 1, 2026. For comparison, based on the closing price for onsemi’s common stock on September 1, 2026, the Merger Agreement (prior to the October 1 amendments) implied a notional price per Synaptics share of $98.08. The Outside Proposal included (i) a letter summarizing the proposal, (ii) a draft of the proposed merger agreement to be entered into by Party A and Synaptics and (iii) both a bridge facility commitment letter and redacted fee letter from a nationally recognized financial institution for a proposed senior bridge loan facility to fund a portion of the proposed 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Consummation of the Outside Proposal was conditioned on Party A obtaining approval of its stockholders for issuance of the proposed share consideration under applicable stock exchange rules, as well as obtaining required regulatory approvals, including under the HSR Act, which approval had already been obtained for the Merger with onsemi. The Outside Proposal also indicated that Party A would fund payment of the $235 million company termination fee payable to onsemi by Synaptics in connection with termination of the Merger Agreement by Synaptics to enter into a definitive agreement with Party A, subject to such fee being refunded to Party A in certain circumstances, including among others in the event Synaptics terminated the Party A merger agreement in connection with a “company superior proposal” as defined therein and in the event of termination by Party A for breach by Synaptics resulting in the failure of applicable Party A merger agreement conditions, resulting in an aggregate termination payment of $435 million in such circumstances. The Outside Proposal otherwise contemplated a termination fee of $200 million payable by Synaptics on terms substantially comparable to those for the Synaptics Termination Fee under the Merger Agreement and a regulatory termination fee of $320 million payable to Synaptics under substantially similar circumstances as the onsemi Regulatory Termination Fee under the Merger Agreement. Moreover, the draft initial Party A merger agreement mirrored the terms and conditions under which the Party A board could change its recommendation with respect to its proposed merger with the terms and conditions applicable to Synaptics, which were substantially similar to the terms of the Merger Agreement, except that Party A could not terminate its merger agreement to concurrently enter into a definitive agreement for an alternative superior proposal. The Outside Proposal stated that the proposed transaction would not be subject to a financing contingency. The Outside Proposal and documentation were promptly provided to onsemi in accordance with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 2026, Mr. Patel called Mr. El-Khoury and informed him that Synaptics had received the Outside Proposal. In response to Mr. El-Khoury requesting an initial view from Mr. Patel on the Outside Proposal, Mr. Patel indicated that the Synaptics board would need to consider the Outside Proposal in light of its fiduciary duties and the terms of the Merger Agreement.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0" w:name="ny20081083x2_defm14a_113-merger_pg15"/>
        <w:bookmarkEnd w:id="9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3, 2026, representatives of Synaptics spoke with representatives of onsemi regarding the Outside Proposal, with the onsemi representatives offering their views on the benefits of the Merger (prior to the October 1 amendments) including with respect to its relative closing certainty and the significant progress the parties had made towards satisfaction of the applicable closing conditions in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4, 2026, representatives from Qatalyst Partners spoke with representatives from Morgan Stanley, with the representatives confirming that Synaptics and onsemi were each working to assess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5, 2026, the chief executive officer of Party A reached out to Mr. Patel via text message to ask if Synaptics had any clarifying questions regarding the Outside Proposal. Mr. Patel responded by confirming that he would revert to Party A’s chief executive officer as needed and appropriate in light of Synaptics’ obligations under the Original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7, 2026, the Synaptics board and members of Synaptics’ senior management, with representatives of Qatalyst Partners and Baker McKenzie in attendance, held a meeting to discuss the Outside Proposal. Representatives of Baker McKenzie reviewed with the Synaptics board the legal framework applicable to the Synaptics board’s consideration of the Outside Proposal. At the meeting, representatives of Qatalyst Partners provided an overview of and certain financial analyses regarding the Outside Proposal, reviewed the relative trading performance of, Synaptics, onsemi, Party A and the broader semiconductor industry since the announcement of the Merger, and discussed the cash/stock consideration mix contemplated by the Outside Proposal relative to the all-stock consideration under the Merger (prior to the October 1 amendments), as well as the anticipated timing to complete a transaction pursuant to the Outside Proposal, which was expected to be longer than the anticipated remaining timing to complete the Merger in light of significant progress made by onsemi and Synaptics towards satisfaction of the applicable covenants and closing conditions. Based on the closing price of Party A common stock as of September 4, 2026, the Outside Proposal implied a notional value of approximately $120.55 per share of Synaptics common stock. Based on the closing price of onsemi common stock as of the same date, the Merger (prior to the October 1 amendments) implied a notional value of approximately $100.41. Representatives of Qatalyst Partners did not render, and were not requested to render, any opinion at the meeting. At that meeting, following the foregoing consultation with Qatalyst Partners and Baker McKenzie, and after considering all factors it deemed relevant and in accordance with the terms of the Merger Agreement, the Synaptics board determined that the Outside Proposal would reasonably be expected to lead to a “Superior Proposal” as defined under the Merger Agreement. The Synaptics board did not determine at such time that the Outside Proposal was a “Superior Proposal” as defined under the Merger Agreement nor did the Synaptics board effect a change in its board recommendation. The Synaptics board then directed Synaptics’ senior management to negotiate a confidentiality agreement with Party A and to engage in discussions with Party A with respect to the Outside Proposal, in accordance with the terms of the Merger Agreement. The Synaptics board also confirmed the continuing mandate of the special committee to oversee and direct Synaptics’ review, negotiation and evaluation of potential strategic transactions, including the Outside Proposal, as previously authorized, including in light of Synaptics’ obligations under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Synaptics board meeting and later on September 7, 2026, Synaptics notified onsemi of the Synaptics board’s determination with respect to the Outside Proposal and Synaptics’ intent to engage in negotiations and discussions with Party A, and to furnish non-public information subject to a confidentiality agreement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later on September 7, 2026, Mr. Patel held a call with Mr. El-Khoury. They discussed financial terms of the Merger (prior to the October 1 amendments) and the potential for onsemi to propose revisions to the Merger Agreement, though Mr. El-Khoury did not indicate at such time whether onsemi would submit any such revisions. They also discussed the importance to Synaptics of value certainty.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the call with Mr. El-Khoury, Mr. Patel telephoned Party A’s chief executive officer to convey the Synaptics board’s determination and arrange for prompt engagement and commencing negotiations of the Outside Proposal for consideration by the Synaptics board. Mr. Patel conveyed that Synaptics and its advisors would need to conduct reverse due diligence of Party A in light of the significant share consideration reflected in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on September 7, 2026, representatives from Qatalyst Partners held a call with representatives from Morgan Stanley to convey the Synaptics board’s determination. Qatalyst Partners and Morgan Stanley also discussed financial metrics comparing the Merger (prior to the October 1 amendments) and the Outside Proposal, and the possibility of altering the onsemi merger consideration to include cash was raised by Qatalyst Partners, though no specific proposal was made by Qatalyst Partners or made by Morgan Stanley. Additionally,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1" w:name="ny20081083x2_defm14a_113-merger_pg16"/>
        <w:bookmarkEnd w:id="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following their call with Morgan Stanley, on September 7, 2026, representatives from Qatalyst Partners held a call with representatives from Party A’s financial advisor regarding next steps in engagement once a mutual non-disclosure agreement was entered into with Party A in accordance with the Merger Agreement, with Qatalyst Partners stressing the importance of deal certainty and value certainty in the Board’s consideration of the Outside Proposal, though no specific proposal was made by Qatalyst Partners or offered by Party A’s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following the Synaptics board meeting, on September 7, 2026, representatives from Baker McKenzie sent a draft confidentiality agreement to Party A’s outside legal counsel.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8, 2026, Synaptics and Party A negotiated and entered into a mutual non-disclosure agreement and customary clean team agreement in accordance with the Merger Agreement, which agreement superseded the prior February 21, 2026 mutual non-disclosure agreement between Synaptics and Party A and did not contain a standstill provision.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during the morning of September 8, 2026, Mr. El-Khoury called Mr. Patel to inquire where things stood with respect to Party A and requested an opportunity to present onsemi’s investor day presentation materials to the special committee and key Synaptics representatives and advisors in advance of such investor day, which was scheduled for September 16,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during the day on September 8, 2026, representatives from Baker McKenzie sent a list of key issues with respect to the initial draft of the proposed merger agreement from Party A to its outside legal counsel. Key requests identified in the issues list included, among others, Synaptics’ requirements for (i) an increase in the number of former Synaptics directors on the combined company board from two to three, in proportion with the pro forma ownership of Synaptics stockholders post-closing; (ii) a “parent no vote” termination fee of 1% of equity value in the event that Party A stockholders did not approve issuance of Party A shares in the proposed Party A merger; (iii) deletion of the obligation that Synaptics refund Party A’s payment of the onsemi company termination fee and a proposal to have reciprocal fees of $235 million as the company termination fee and parent termination fee; (iv) structuring the Party A merger as a tax-free reorganization; (v) a requirement that any breach of Synaptics’ covenants to assist in Party A’s debt financing require such breach be material and intentional and primarily cause a financing failure; (vi) substantially reciprocal representations and warranties between Party A and Synaptics, and increased flexibility for Synaptics retention, severance and equity grant operations pre-closing; and (vii) certain covenants being subject to a “reasonable best efforts” standard to strengthen closing certainty. Synaptics, Party A, and their respective legal counsel continued to negotiate the terms of Party A’s proposed merger agreement from this date through September 19,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2026, Party A and its representatives received access to Synaptics’ virtual data room containing due diligence materials substantially similar to the one provided to onsemi. All newly provided diligence information furnished by Synaptics to Party A and its representatives via the virtual data room, was promptly shared with onsemi and representatives of onsemi in accordance with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9, 2026, Synaptics and Party A held a reverse due diligence meeting with respect to Party A attended by representatives from the management of both parties and representatives of Party A’s financial advisor, and representatives of Qatalyst Partners. During such meeting, Party A’s management provided an update on its business, and the meeting covered numerous matters related to Party A, including its long-range financial plans, customer base and operations, as well as the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Generally between September 9, 2026 through September 24, 2026, Synaptics and its advisors engaged in customary reverse due diligence with respect to Party A covering a range of customary subjects, which included among others Party A’s financing plans. Party A established a virtual data room, which it made available to Synaptics and its advisors beginning on September 10. During this period, Synaptics requested due diligence materials and information, and received diligence responses from, Party A.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September 11, 2026, representatives from Baker McKenzie sent to representatives of Party A a revised draft of Party A’s merger agreement that proposed, among other things, more extensive pre-closing covenants for Party A, including with respect to its obligations to obtain financing for the transaction.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12, 2026, representatives from onsemi management provided representatives from Synaptics and Qatalyst Partners a preview of onsemi’s then-upcoming investor day presentation which was scheduled for September 16,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2" w:name="ny20081083x2_defm14a_113-merger_pg17"/>
        <w:bookmarkEnd w:id="9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12, 2026, Mr. Patel held a call with Party A’s chief executive officer, during which they discussed certain timing considerations for the Outside Proposal, merger consideration composition, deal value, the terms of the proposed merger agreement, and general business updates. Party A’s chief executive officer expressed openness to adding more cash consideration in response to Synaptics’ negotiating requests without offering a specific proposal. Party A’s chief executive officer volunteered to discuss possible future plans for Mr. Patel, which Mr. Patel declined without engaging in any such discussions.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14, 2026, representatives from Synaptics held a due diligence session with members of Party A’s management team and accounting advisor. Their discussion included questions and answers on topics including commercial and product matters, Synaptics’ financial statements, cybersecurity and data privacy, operational and technology matters and tax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on September 14, 2026, representatives from Baker McKenzie received a mark-up of the initial draft merger agreement from Party A’s outside legal counsel and then provided notice and a copy of the same to onsemi and its outside legal counsel later that evening.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morning on the following day, September 15, 2026, Mr. Patel held a call with Party A’s chief executive officer, during which they discussed the mark-up of the merger agreement draft recently received by Synaptics, including its proposed termination fee structure, with Mr. Patel discussing a potential bifurcation of the Synaptics termination fee as between an onsemi acquisition proposal under the merger agreement incurring a larger termination fee and one from any third party incurring a lower fee (in all cases with a refund of $235 million to Party A for its payment of the Synaptics Termination Fee under the Merger Agreement in specified circumstances), the reciprocity of the parties’ covenants and certain pre-closing covenants, as well as timing and deal dynamic considerations.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early afternoon of September 15, 2026, representatives of Baker McKenzie similarly shared with Party A’s outside counsel a mark-up of Party A’s debt commitment letter and promptly sent a copy to onsemi and Skadden shortly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receipt of Party A’s outside legal counsel’s revised mark-up of the draft merger agreement, on September 15, 2026, representatives from each of Baker McKenzie and Party A’s outside legal counsel met to discuss Synaptics’ concerns regarding such mark-up, including the number of former Synaptics directors seated on the combined company’s board of directors, interim operating covenants binding each of the parties, the proposed bifurcated termination fee structure and certain pre-closing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September 15, 2026, Mr. Patel held a call and discussed with Party A’s chief executive officer Synaptics’ focus on closing certainty, including related issues under Party A’s proposed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September 16, 2026, representatives of Qatalyst Partners delivered to Synaptics an updated relationship disclosure letter, which was subsequently provided to the Synaptics board and the special committee and did not disclose any issues of note.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16, 2026, Lisa Bodensteiner, Senior Vice President, Chief Legal Officer and Secretary of Synaptics, held a meeting with her counterpart at Party A, regarding certain pre-closing covenants in the Party A draft merger agreement and employee-related interim operating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16, 2026, representatives from Qatalyst Partners held a call with counterparts from Party A’s financial advisor. The participants discussed potential transaction timing, and the Qatalyst Partners team advocated for additional cash consideration to be included in a revised Outside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During the afternoon of September 16, 2026, onsemi held its investor day presentation. Also on September 16, 2026, representatives of Baker McKenzie sent revisions to certain schedules to the draft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17, 2026, representatives of Baker McKenzie sent to Party A’s outside legal counsel a revised draft merger agreement, with Baker McKenzie providing a notice and copy to onsemi and Skadden shortly thereafter, and certain changes to Synaptics’ pre-closing covenants.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the special committee held a meeting, which was attended by representatives from Baker McKenzie and Qatalyst Partners. Qatalyst Partners presented a further update regarding negotiations with the parties and financial analysis, including an update of recent stock price performance for Synaptics, Party A, onsemi and the broader semiconductor industry as well as the implied statistics of the Merger (prior to the October 1 amendments) and the Outside Proposal. Based on onsemi’s closing price on September 16, 2026, the Merger Agreement implied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3" w:name="ny20081083x2_defm14a_113-merger_pg18"/>
        <w:bookmarkEnd w:id="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notional price per Synaptics share of approximately $89.91, compared to the Outside Proposal, which implied a notional value of approximately $123.32 per share of Synaptics common stock based on the closing price of Party A common stock as of the same date. Qatalyst Partners also provided a comparison of Party A’s management plan against analyst consensus estimates, with discussion about certain risks to Party A’s future stock price. Also during the meeting, representatives from Baker McKenzie provided an update on discussions with Party A’s outside legal counsel with respect to the proposed merger agreement drafts and negotiations on key legal points.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Mr. Patel had a call with Party A’s chief executive officer regarding the transaction process and key topics with respect to the proposed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17, 2026, representatives of Synaptics and Qatalyst Partners held a virtual meeting with representatives of Party A and its financial advisor to discuss reverse due diligence questions from Synaptics management regarding Party A’s financial forecast and other business topics, including a comparison of Party A’s management plan versus analyst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on September 17, 2026, following onsemi’s investor day, representatives from Qatalyst Partners spoke with representatives from Morgan Stanley regarding the status of the Outside Proposal and whether onsemi expected to make a counterproposal, with representatives of Morgan Stanley not confirming whether onsemi intended to do so but indicating onsemi would respond following an initial superior proposal determination by the Synaptics board, should one occur.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18, 2026, Mr. Patel spoke again with Party A’s chief executive officer. Party A’s chief executive officer orally conveyed an updated merger consideration proposal of $57.50 in cash and a revised fixed number of shares of Party A’s common stock per share of Synaptics common stock, representing a total implied notional value of $124.91 per share based on the closing price of Party A common stock as of September 17, 2026, increasing the cash component of merger consideration relative to the initial Outside Proposal while largely keeping the overall notional value unchanged. For comparison, based on onsemi’s closing price on September 17, 2026, the Merger Agreement (prior to the October 1 amendments) implied a notional price per Synaptics share of $92.21.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September 18, 2026, representatives from Party A’s outside legal counsel circulated to Baker McKenzie a revised mark-up of the draft merger agreement, which Synaptics provided to onsemi shortly thereafter, which draft reflected the revised Outside Proposal communicated by Party A’s chief executive officer to Mr. Patel. Party A’s outside legal counsel described the mark-up of the draft merger agreement as a “final proposed version,” with Party A prepared to sign and proceed on the basis of the documents, subject to final approval of the boards of both companies and Synaptics’ ability to proceed under the terms of the Merger Agreement. This new mark-up of the draft merger agreement, among other things, amended the termination fee structure to include a $235 million termination fee payable by Synaptics if the merger agreement were terminated in connection with any onsemi acquisition proposals, but otherwise $150 million for acquisition proposals from other parties (but in each case, also refunding the Synaptics termination fee paid by Party A on behalf of Synaptics), resulting in an aggregate effective termination payment of $385 million, and included compromises on the interim operating covenants binding each side. The new draft also included certain pre-closing covenants which raised concerns regarding deal certainty, and continued to provide for appointment of two former Synaptics directors for the combined company. On September 19, 2026, and through the morning of September 20, 2026, Baker McKenzie and Party A’s outside legal counsel continued discussing the draft merger agreement and related transaction documents, with Party A’s outside legal counsel providing by the morning of September 20, 2026 an updated draft merger agreement and related parent and company disclosure schedules, as well as bridge financing commitment and fee letter. Synaptics provided the updated drafts of the merger agreement, disclosure schedules, bridge financing commitment, and fee letter to onsemi shortly thereafter.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19, 2026, Mr. Patel and the chief executive officer of Party A held a call to discuss key remaining open issues based on Party A’s latest draft merger agreement. The Party A chief executive officer relayed the chief executive officer’s belief that the Outside Proposal, as negotiated, was clearly superior to the Merger (prior to the October 1 amendments).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morning of September 20, 2026, the Synaptics board and the special committee convened a joint special meeting to consider the updated Outside Proposal, with representatives from Qatalyst Partners and Baker McKenzie present. Representatives from Qatalyst Partners presented on and discussed the market and trading environment as well as an overview of the financial plans and comparative valuations of the Merger (prior to the October 1 amendments) and the Outside Proposal, as negotiated. The Qatalyst Partners representatives noted that the Merger (prior to the October 1 amendments) implied a notional value of approximately $94.47 per share of Synaptics common stock as of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4" w:name="ny20081083x2_defm14a_113-merger_pg19"/>
        <w:bookmarkEnd w:id="9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September 18, 2026, compared to the revised Outside Proposal, which implied a notional value of approximately $124.04 per share of Synaptics common stock as of the same date, representing a premium of approximately 31% over the then-current notional value of the Merger (prior to the October 1 amendments). Following the negotiation of the stock-cash mix of merger consideration under the Outside Proposal, the Outside Proposal included a mix of approximately 46% cash and 54% stock, with 2 reserved seats on the combined company board for former Synaptics directors. The Merger (prior to the October 1 amendments) represented approximately 12% pro forma ownership in the combined company, with 1 board seat. The attendees discussed a number of key metrics relating to execution certainty, including that a transaction with Party A would require a Party A stockholder vote, and that HSR approval had already been received for the Merger with onsemi. Representatives of Qatalyst Partners also reviewed various valuation analyses comparing the revised Outside Proposal and the Merger (prior to the October 1 amendments). Representatives of Qatalyst Partners did not render, and were not requested to render, any opinion at the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representatives from Baker McKenzie summarized the board’s fiduciary duties, Synaptics’ governance documents, the Merger Agreement (prior to the October 1 amendments), the Outside Proposal and other relevant legal considerations, including the definition of “Superior Proposal”, as well as findings from the parties’ due diligence processes, and the key terms of the Outside Proposal, as negotiated. Updates regarding negotiated resolutions for key legal issues were discussed, including that Party A agreed to pay Synaptics a 1% equity value “parent no vote” fee payable in the event that the required Party A stockholder vote failed; changes to certain pre-closing covenants; a bifurcated termination fee structure whereby Synaptics would pay to Party A (i) a refund of the Synaptics Termination Fee paid under the Merger Agreement in the amount of $235 million plus $150 million for terminating the proposed merger agreement for a bidder other than onsemi, resulting in an aggregate effective termination payment of $385 million, or (ii) in the event of an onsemi re-bid, a total of $470 million, consisting of $235 million for the Synaptics Termination Fee refund and an additional $235 million termination fee; customary reciprocal representations and warranties under the proposed merger agreement as well as certain changes to interim operating restrictions binding Synaptics. The illustrative timelines for each transaction were also laid out by the Baker McKenzie team, which noted that the HSR waiting period for the Merger had already expired (which would still be required for the proposed Party A merger to close).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terms proposed, including what the Synaptics board and the special committee viewed as significant lack of deal certainty based on certain pre-closing covenants as compared to the proposed Merger with onsemi, the Synaptics board and the special committee concluded that they could not determine that the revised Outside Proposal was reasonably likely to be consummated on the terms proposed if accepted and thus could not determine that the Outside Proposal, as revised, was in fact a “Superior Proposal” as defined under the Merger Agreement. The Synaptics board and the special committee directed Synaptics’ management and advisors to continue negotiations with Party A to address such deal uncertainty in Party A’s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meeting on September 20, 2026, Mr. Patel and the Party A chief executive officer spoke, during which conversation Mr. Patel conveyed that the initial board reaction was that a superior proposal determination seemed unlikely based on the terms proposed and the resulting deal uncertainty. The representatives from Qatalyst Partners and Baker McKenzie also conveyed this message to their counterparts at Party A’s financial advisor and outside legal counsel, respectively.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Subsequent to these discussions, later on September 20, 2026, Party A’s outside legal counsel sent revised terms to Baker McKenzie intended to address the Synaptics board’s deal certainty concerns.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that day, during the evening of September 20, 2026, the Synaptics board and the special committee convened a joint special meeting to consider the updated proposal from Party A, with representatives from Qatalyst Partners and Baker McKenzie present. In light of certain concessions accepted by Party A, the Synaptics board and the special committee considered the updated Outside Proposal as well as the input from Qatalyst Partners and Baker McKenzie discussed at the joint board and special committee meeting earlier that day. The special committee then unanimously recommended that the Synaptics board (i) determine that the Outside Proposal, as revised, constituted a Superior Proposal pursuant to the terms of the Merger Agreement, (ii) determine that the failure of the Synaptics board to authorize termination of the Merger Agreement to concurrently enter into the proposed Party A merger agreement would reasonably be expected to be inconsistent with its fiduciary duties under applicable legal requirements, (iii) authorize delivery of a superior proposal notice, pursuant to the terms of the Merger Agreement, and (iv) otherwise direct compliance with the relevant provisions of the Merger Agreement. On the recommendation of the special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5" w:name="ny20081083x2_defm14a_113-merger_pg20"/>
        <w:bookmarkEnd w:id="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committee, the Synaptics board unanimously determined that the Outside Proposal, as negotiated, constituted a Superior Proposal under the terms of the Merger Agreement and authorized issuance of a superior proposal notice under the terms of the Merger Agreement, triggering a notice and negotiation period with onsemi under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Promptly following the Synaptics’ board’s determination, Mr. Patel informed Party A’s chief executive officer that the Synaptics Board had made the Superior Proposal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Mr. Patel had also sent Mr. El-Khoury a text message shortly after the Synaptics’ board’s determination to set up a phone discussion between them. Later that evening, the two chief executive officers spoke, with Mr. Patel informing Mr. El-Khoury of the Synaptics board’s Superior Proposal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shortly after the later board meeting on September 20, 2026, representatives from Qatalyst Partners spoke with their counterparts at both Party A’s financial advisor and Morgan Stanley to provide a similar update.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September 20, 2026, Synaptics delivered the Superior Proposal notice, along with the proposed final Party A merger documentation to onsemi, in accordance with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23, 2026, Ms. Bodensteiner had a call with Paul Dutton, Senior Vice President, Chief Legal Officer and Secretary at onsemi, and discussed the status of onsemi’s internal discussions in response to the Outside Proposal. Mr. Dutton conveyed that onsemi should be able to respond to the Outside Proposal by the afternoon of the next day, September 24.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24, 2026, representatives from onsemi called Mr. Patel to convey that onsemi would be submitting a revised proposal in response to the Synaptics’ board’s determination that the Outside Proposal constituted a superior proposal under the Merger Agreement, which proposal was submitted that day. The proposed terms for amending and restating the Merger Agreement (the “Amendment Proposal”) included revised merger consideration consisting of $120 per share of Synaptics common stock in an all-cash transaction. For comparison, based on the closing price of Party A common stock on September 24, 2026, the revised Outside Proposal implied a total value of $124.03 per share of Synaptics common stock, of which approximately 54% was in the form of Party A’s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24, 2026, representatives from Morgan Stanley had a call with representatives from Qatalyst Partners to discuss the Amendment Proposal, which the Morgan Stanley team said would be financed with cash on hand and new debt, but would not include a financing condition, with a Morgan Stanley set of financing letters to arrive in the forthcoming proposal documentation. The Morgan Stanley team noted that the Amendment Proposal included all-cash consideration to deliver, among other things, significant value certainty to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on September 24, 2026, representatives from Baker McKenzie held a call with representatives from Skadden, following which onsemi delivered to Synaptics the relevant Amendment Proposal documentation, including (i) a notice of proposed amendments to the Merger Agreement, (ii) a draft amended merger agreement to provide for the all-cash transaction, with the terms and conditions for payment of the onsemi Regulatory Termination Fee and the Synaptics Termination Fee, as well as Synaptics’ pre-closing covenants, unchanged from the Merger Agreement, and (iii) a senior secured term loan facility commitment letter from Morgan Stanley Senior Funding, Inc. with respect to a proposed senior secured term loan facility intended to fund a material portion of the proposed consideration. Between September 24 and September 29, 2026, representatives from Baker McKenzie and Skadden negotiated the terms of this documentation.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Later on September 24, 2026, representatives from Baker McKenzie held a brief call with a representative from Party A’s outside legal counsel to convey that Synaptics’ review of Party A’s proposal and discussions with onsemi remained ongoing, and that Synaptics was not prepared to enter into a revised transaction with Party A at such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morning of September 25, 2026, Mr. Patel held a call with Party A’s chief executive officer. Mr. Patel provided the update that onsemi had improved its offer in response to the Outside Proposal. Mr. Patel conveyed to Party A’s chief executive officer that Party A should consider how to improve its offer with respect to value, value certainty, and deal certainty. Mr. Patel offered his availability for a call to discuss further and also encouraged Party A to let Synaptics know its thinking by the evening of the next day, September 26, 2026, in advance of a planned Synaptics board meeting on September 27, 2026.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6" w:name="ny20081083x2_defm14a_113-merger_pg21"/>
        <w:bookmarkEnd w:id="9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on September 25, 2026, representatives from Baker McKenzie held a call with representatives from Skadden to discuss the Synaptics board’s review process and certain proposed changes to onsemi’s draft amended merger agreement. Later that day, representatives from Baker McKenzie sent a revised draft merger agreement to Skadden, which proposed revisions to the parties’ financing related covenants, among other things.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26, 2026, representatives from Qatalyst Partners held a call with representatives from Morgan Stanley. The Qatalyst Partners team reiterated the proposed timing for the Synaptics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Early on September 27, 2026, representatives from Party A’s financial advisor called representatives from Qatalyst Partners, and Qatalyst Partners encouraged Party A to provide an improved proposal before the Synaptics board meeting later that day.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Also during the morning of September 27, 2026, Party A informed Synaptics that Party A would be providing a revised proposal, consisting of proposed merger consideration of $62.50 in cash and a fixed number of shares of Party A common stock per share of Synaptics stock (such proposal, the “Revised Party A Proposal”), representing a total implied notional value of $130.85 per share based on the closing price of Party A common stock as of September 25, 2026, of which approximately 52% was in the form of Party A’s stock. Later that morning, Party A’s outside counsel sent the proposed merger documentation to Baker McKenzie, also noting that the Revised Party A Proposal included an additional board seat for then-former Synaptics directors, now totaling three directors, and an increased “parent no vote” termination fee.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on September 27, 2026, representatives from Baker McKenzie received a mark-up to the draft amended merger agreement from representatives from Skadden, which proposed customary changes to certain provisions in light of the proposed all-cash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Early during the afternoon of September 27, 2026, Mr. Patel telephoned Mr. El-Khoury to inform him of the Revised Party A Proposal. Mr. El-Khoury conveyed his belief that onsemi’s proposal compared favorably with Party A’s proposal and expressed concerns about Party A’s financing and the value of its proposal, including based on Synaptics’ earlier concerns with the long-term value of Party A’s stock prior to the parties’ June 25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Shortly thereafter, Qatalyst’s representatives called their counterparts at Morgan Stanley to update them as to the Revised Party A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Also shortly after the CEOs’ discussion, Synaptics promptly provided notice and copies of the Revised Party A Proposal draft documentation to onsemi in accordance with the Merger Agreement, providing two business days’ notice for onsemi to respond to the Revised Party A Proposal pursuant to the terms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evening of September 27, 2026, the Synaptics board and special committee convened a joint meeting to discuss recent developments, including the finalization of the Amendment Proposal and the recently received Revised Party A Proposal. The meeting was attended by representatives from Baker McKenzie and Qatalyst Partners. The representatives from Qatalyst Partners presented an update on the stock price performance of each of Synaptics, onsemi and Party A, as well as the broader semiconductor industry. Qatalyst Partners also compared certain financial analyses between the Amendment Proposal and the Revised Party A Proposal. Representatives from Baker McKenzie reviewed the Synaptics board’s and the special committee’s rights and obligation under the Merger Agreement in light of the Amendment Proposal and the Revised Party A Proposal. Neither the special committee nor the Synaptics board made any further determination with respect to the Amendment Proposal or the Revised Party A Proposal at such time, in light of the possibility that onsemi might submit a further revised proposal in response to the Revised Party A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September 27, 2026 joint meeting, representatives from Qatalyst Partners reached out to their counterparts at Morgan Stanley that evening to convey that the Synaptics board was considering both proposals and that the Synaptics board expected to make a final determination with respect to the Amendment Proposal and the Revised Party A Proposal around the expiration of the pending two business day notice period under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following morning, September 28, 2026, the Qatalyst Partners representatives held a call with their counterparts at Party A’s financial advisor to provide an update. The Qatalyst Partners team conveyed that the Synaptics board had not made a decision, but intended to re-convene on or around September 29, 2026 to make a final decision, requesting that Party A make any further proposal in advance of that meeting.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7" w:name="ny20081083x2_defm14a_113-merger_pg22"/>
        <w:bookmarkEnd w:id="9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September 29, 2026, Mr. Patel held a call with Mr. El-Khoury in advance of a Synaptics board meeting that evening. Mr. Patel encouraged onsemi to submit a further-enhanced proposal in light of the Revised Party A Proposal before the Synaptics board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afternoon of September 29, 2026, onsemi delivered a revised Amendment Proposal and related documentation, including (i) a notice of proposed amendments to the Merger Agreement, (ii) a draft amended merger agreement that further increased onsemi’s proposed all-cash consideration from $120 per share to $123 per share, and (iii) a senior secured term loan facility commitment letter and redacted fee letter from Morgan Stanley Senior Funding, Inc. with respect to a proposed $2.45 billion senior secured term loan facility intended to fund a material portion of the proposed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 joint special committee and Synaptics board meeting on the evening of September 29, 2026, the special committee and the Synaptics board convened to discuss the revised Amendment Proposal, with representatives from Synaptics’ senior management and representatives of Qatalyst Partners and Baker McKenzie in attendance.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representatives from Qatalyst Partners discussed the market and trading environment, including the recent stock price performance of Synaptics, onsemi, Party A and the broader semiconductor industry, as well as an overview of the financial plans and comparative valuations of the Amendment Proposal, as revised, and the Revised Party A Proposal. Representatives from Qatalyst Partners noted that the Merger Consideration was $123.00 per share in cash, compared to the Revised Party A Proposal, which implied a notional value of approximately $131.36 per share of Synaptics common stock as of the close of trading on September 29, 2026. The Revised Party A Proposal included a mix of approximately 48% cash and 52% stock, with 3 reserved seats on the combined company board. Representatives from Qatalyst Partners also noted that a transaction with Party A would also require a Party A stockholder vote. The representatives from Qatalyst Partners also noted that HSR approval had already been received for the Merger with onsemi. Representatives of Qatalyst Partners also reviewed various valuation analyses comparing the Revised Party A Proposal and the revised Amendment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Representatives of Baker McKenzie then reviewed the options for the Synaptics board’s and the special committee’s consideration as next steps for the transaction process, including next steps should it determine the Outside Proposal, as revised by the Revised Party A Proposal, continued to constitute a “Superior Proposal” as defined under the Merger Agreement or should it decide to proceed with the Amendment Proposal as revised. Representatives of Baker McKenzie also discussed with the members of the Synaptics board their fiduciary duties, the terms of Synaptics’ governance documents and other relevant legal considerations, and reviewed the terms of the Amendment Proposal and the Revised Party A Proposal and the relevant timelines to closing either proposed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these presentations, the special committee and the Synaptics board discussed the foregoing and other matters with representatives from Synaptics’ senior management and representatives of Qatalyst Partners and Baker McKenzie, including the value uncertainty of the Revised Party A Proposal in light of the significant share consideration included therein relative to the value certainty of onsemi’s all-cash proposal, which onsemi had already increased, and the risk that onsemi might withdraw its proposal if the Synaptics board did not proceed to accept it balanced against the fact that Party A would be free to bid again if Synaptics announced a revised merger agreement with onsemi under the terms of any such revised merger agreement, as well as the significant progress that had already been made towards satisfaction of the closing conditions for the Merger with onsemi, which, when taken together with onsemi’s all-cash offer, provided meaningful value and value certainty over Party A’s proposals. Based on this discussion, the special committee confirmed that it was prepared to recommend that the Synaptics board determine the Outside Proposal, as revised by the Revised Party A Proposal, no longer constituted a “Superior Proposal” as defined under the Merger Agreement in light of the amendments onsemi had theretofore committed to make and the Synaptics board confirmed that it was prepared to accept such recommendation and make such determination.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to its prior presentation, Qatalyst Partners then rendered to the Synaptics board its oral opinion, which was confirmed by delivery of a written opinion dated September 29, 2026, a copy of which written opinion is attached to this proxy statement as Annex B, to the effect that, based upon and subject to the various assumptions, qualifications, limitations and other matters set forth therein, as of the date thereof, the Merger Consideration to be received by the holders of shares of Synaptics common stock (other than onsemi or any affiliate of onsemi) pursuant to, and in accordance with, the terms of the Merger Agreement was fair, from a financial point of view, to such holders. For a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98" w:name="ny20081083x2_defm14a_113-merger_pg23"/>
        <w:bookmarkEnd w:id="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detailed discussion of Qatalyst Partners’ opinion, please see below in the section titled “—Opinion of Synaptics’ Financial Advisor.” Prior to the meeting, representatives of Qatalyst Partners had informed Baker McKenzie representatives that there were no changes to the relationship disclosure letter previously provided to the Synaptics board and the special committee in mid-September.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special committee then unanimously recommended that the Synaptics board (i) determine that the Outside Proposal, as revised by the Revised Party A Proposal, no longer constituted a “Superior Proposal” as defined under the Merger Agreement, (ii) determine that the Merger Agreement and the transactions contemplated thereby are fair and in the best interests of Synaptics and its stockholders and (iii) approve and declare advisable, and authorize the execution and delivery of, the Merger Agreement and the transactions contemplated thereby.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After its own careful consideration and taking into account the recommendation of the special committee, the Synaptics board unanimously (i) determined that the Outside Proposal, as revised by the Revised Party A Proposal, no longer constituted a “Superior Proposal” as defined under the Merger Agreement, (ii) authorized and approved the execution, the delivery and, subject to the receipt of the Required Synaptics stockholder vote, performance of the Merger Agreement and the consummation of the Merger by the Company; (iii) determined that the Merger Agreement and the transactions contemplated thereby, including the Merger, are fair to and in the best interests of the Company and its stockholders; (iv) approved and declared advisable the Merger Agreement and the transactions contemplated thereby, including the Merger, and (v) directed that the Merger Agreement be submitted to a vote of the Company’s stockholders, recommended that the Company’s stockholders adopt and approve the Merger Agreement, as amended, and the transactions contemplated thereby, including the Merger (the “Company board recommendation”), and resolved to include the Company board recommendation in the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Following the joint board and special committee meeting through the close of trading on October 1, 2026, Synaptics, onsemi and its advisors and outside counsel finalized the Merger Agreement for execution and coordinated communications materials and approach for the revised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2026, shortly after the close of trading, the parties executed and delivered the amended and restated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Shortly thereafter, Synaptics and onsemi issued a joint press release announcing the execution of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On October 13, 2026, Cirrus Logic, Inc. (Nasdaq: CRUS) filed a Form 8-K with the SEC confirming that it is Party A.</w:t>
      </w:r>
    </w:p>
    <w:p>
      <w:pPr>
        <w:pStyle w:val="TextBody"/>
        <w:bidi w:val="0"/>
        <w:spacing w:before="35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Expected Timing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currently expect the Merger to be completed as soon as practicable after the satisfaction or waiver of all applicable closing conditions to the Merger described below. </w:t>
      </w:r>
    </w:p>
    <w:p>
      <w:pPr>
        <w:pStyle w:val="TextBody"/>
        <w:bidi w:val="0"/>
        <w:spacing w:before="120" w:after="283"/>
        <w:ind w:left="0" w:right="0" w:firstLine="400"/>
        <w:jc w:val="both"/>
        <w:rPr/>
      </w:pPr>
      <w:r>
        <w:rPr>
          <w:rFonts w:ascii="Times New Roman;Times;serif" w:hAnsi="Times New Roman;Times;serif"/>
          <w:color w:val="000000"/>
          <w:sz w:val="20"/>
        </w:rPr>
        <w:t xml:space="preserve">onsemi and Synaptics cannot predict the actual date on which the Merger will be completed because the Merger is subject to conditions beyond their control, and it is possible that such conditions could result in the Merger being completed earlier or later than expected or not at all. However, either onsemi or Synaptics may terminate the Merger Agreement if the Merger has not been completed by 11:59 p.m., Pacific time, on June 25, 2027, subject to automatic three-month extensions (up to three times) in specified circumstances relating to certain antitrust and foreign direct investment regulatory conditions. For more information, see “The Merger Agreement—Conditions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and “The Merger Agreement—Termination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350" w:after="283"/>
        <w:ind w:left="0" w:right="0" w:hanging="0"/>
        <w:jc w:val="left"/>
        <w:rPr>
          <w:rFonts w:ascii="Times New Roman;Times;serif" w:hAnsi="Times New Roman;Times;serif"/>
          <w:b/>
          <w:i/>
          <w:color w:val="000000"/>
          <w:sz w:val="20"/>
        </w:rPr>
      </w:pPr>
      <w:bookmarkStart w:id="99" w:name="tROTS"/>
      <w:bookmarkEnd w:id="99"/>
      <w:r>
        <w:rPr>
          <w:rFonts w:ascii="Times New Roman;Times;serif" w:hAnsi="Times New Roman;Times;serif"/>
          <w:b/>
          <w:i/>
          <w:color w:val="000000"/>
          <w:sz w:val="20"/>
        </w:rPr>
        <w:t xml:space="preserve">Recommendation of the Synaptics Board of Directors and Reasons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 the assistance of its financial and legal advisors, the Synaptics board evaluated the Merger Agreement and the transactions contemplated thereby, including the Merger. After careful consideration and based on the special committee’s recommendation, at a special joint meeting of the Synaptics board and the special committee held on September 29, 2026, the Synaptics board unanimously (a) authorized and approved the execution, delivery and, subject to the receipt of the required Synaptics stockholder vote, performance of the Merger Agreement, and the consummation of the transactions contemplated thereby; (b) determined that the Merger Agreement and the transactions contemplated thereby, including the Merger, are fair to and in the best interests of Synaptics and its stockholders; (c) approved and declared advisable the Merger Agreement, and the transactions contemplated thereby; and (d) subject to the terms and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0" w:name="ny20081083x2_defm14a_113-merger_pg24"/>
        <w:bookmarkEnd w:id="10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conditions of the Merger Agreement, directed that the Merger Agreement be submitted to a vote of Synaptics’ stockholders, made the Synaptics board recommendation, and resolved to include the Synaptics board recommendation in this proxy statement.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Synaptics board unanimously recommends that Synaptics stockholders vote “FOR” the Merger Proposal, “FOR” the Advisory Compensation Proposal and “FOR” the Adjournment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contains important information about these proposals and the factors Synaptics stockholders should consider when deciding how to vote. Synaptics stockholders are encouraged to read the entire document carefully, including the annexes and documents incorporated by reference, for more details about the Merger Agreement and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evaluating the Merger Agreement and the transactions contemplated thereby, including the Merger, the Synaptics board and the special committee consulted with Synaptics’ management and Synaptics’ legal and financial advisors. The Synaptics board and the special committee considered a number of factors that they believed supported the Synaptics board’s decision, and the special committee’s recommendation, to approve the Merger Agreement and recommend its adoption by Synaptics stockholders, including the following material factors (not necessarily presented in order of relative importance):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Stockholder Value and Return</w:t>
            </w:r>
            <w:r>
              <w:rPr>
                <w:rFonts w:ascii="Times New Roman;Times;serif" w:hAnsi="Times New Roman;Times;serif"/>
                <w:color w:val="000000"/>
                <w:sz w:val="20"/>
              </w:rPr>
              <w:t xml:space="preserve">. The attractive value and nature of the consideration Synaptics stockholders will receive in the Merger, including the following benefits: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represents value of $123.00 in cash per share of Synaptics common stock, an approximately (i) 22% premium to Synaptics’ closing price of $100.79 on September 29, 2026, the last trading day prior to the Synaptics board’s approval of the Merger Agreement, and (ii) 20% premium to the implied notional value of the merger consideration under the Merger Agreement (prior to the October 1 amendments), based on onsemi’s closing price as of the close of trading on September 29,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Consideration represents a significant premium over Synaptics’ volume-weighted average share prices over longer-term trading periods, including an approximately 20% premium to Synaptics’ 90-day volume-weighted average price, and an approximately 40% premium to Synaptics’ last-twelve-months volume-weighted average price, in each case calculated for the applicable periods ending as of June 25, 2026, the last close of trading prior to the date of the announcement of the initial transaction with onsemi;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the Merger Consideration implies valuation multiples that compare favorably to relevant benchmarks, including (i) next-twelve-month multiples of 23.5x Non-GAAP P/E and 4.5x EV/revenue, and (ii) calendar year 2027 estimated multiples of 20.7x Non-GAAP P/E and 4.2x EV/revenue. Synaptics’ board and the special committee considered that these implied multiples exceed the median calendar year 2027 Non-GAAP P/E and EV/revenue multiples of Synaptics’ consumer concentrated semiconductor peer group median (approximately 17.1x and 3.3x, respectively) and broad-market and edge semiconductor peer group median (approximately 16.3x and 4.0x, respectively), exceed the median multiples observed in selected public semiconductor transactions since 2011 involving companies with equity values greater than $1 billion (approximately 22.1x NTM Non-GAAP P/E and 3.7x NTM EV/revenue), and fall within or above the ranges applied in the selected companies and selected transactions valuation analyses performed by Qatalyst Partners in connection with its fairness opinion, as more fully described in the section titled “—Opinion of Qatalyst Partners LP, Synaptics’ Financial Advisor” beginning on page </w:t>
            </w:r>
            <w:hyperlink w:anchor="tOOQP">
              <w:r>
                <w:rPr>
                  <w:rStyle w:val="InternetLink"/>
                  <w:rFonts w:ascii="Times New Roman;Times;serif" w:hAnsi="Times New Roman;Times;serif"/>
                  <w:color w:val="000080"/>
                  <w:sz w:val="20"/>
                </w:rPr>
                <w:t>64</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Semiconductor Market Context.</w:t>
            </w:r>
            <w:r>
              <w:rPr>
                <w:rFonts w:ascii="Times New Roman;Times;serif" w:hAnsi="Times New Roman;Times;serif"/>
                <w:color w:val="000000"/>
                <w:sz w:val="20"/>
              </w:rPr>
              <w:t xml:space="preserve"> The fact that, during the period between June 25, 2026 (the last trading day prior to the announcement of the Merger Agreement (prior to the October 1 amendments)) and September 29, 2026 (the last trading day prior to the Synaptics board’s approval of the Merger Agreement), the semiconductor sector experienced a significant broad-based decline in valuations, with the Philadelphia Semiconductor Index (SOX) declining during that period approximately 9%, Synaptics’ broad-market and edge semiconductor peer group (excluding onsemi) declining during that period approximately 22%, and the notional value of the Merger (prior to the October 1 amendments) declining approximately 36% to $102.53,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1" w:name="ny20081083x2_defm14a_113-merger_pg25"/>
        <w:bookmarkEnd w:id="1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Synaptics’ own share price declining during that period approximately 20% from its unaffected closing price of $125.62 on June 25, 2026, to $100.79. The Synaptics board and the special committee noted that the Merger Consideration of $123.00 per share in cash effectively insulates Synaptics stockholders from the substantial majority of this sector-wide decline.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Certainty of Value of All-Cash Consideration.</w:t>
            </w:r>
            <w:r>
              <w:rPr>
                <w:rFonts w:ascii="Times New Roman;Times;serif" w:hAnsi="Times New Roman;Times;serif"/>
                <w:color w:val="000000"/>
                <w:sz w:val="20"/>
              </w:rPr>
              <w:t xml:space="preserve"> The fact that the Merger Consideration consists entirely of cash and determined that the all-cash nature of the Merger Consideration will provide certain and immediate value and liquidity to Synaptics’ stockholders. The Synaptics board found this certainty and liquidity to be particularly compelling when viewed against the internal and external risks and uncertainties associated with the recent volatility in semiconductor companies’ stock prices generally; certain macroeconomic conditions, including the current state of the U.S. and global economies; the competitive and evolving semiconductor sector and environment in which Synaptics operates, and the potential impact of such risks and uncertainties on a standalone strategy for Synaptics and on the future trading price of shares of Synaptics common stock. The Synaptics board further noted that the all-cash Merger Consideration would allow Synaptics’ stockholders to immediately realize a fair value for their investment and avoid exposure to the execution, financial, and operational risks inherent in continuing to pursue Synaptics’ business plan on a standalone basis.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Financing Contingency.</w:t>
            </w:r>
            <w:r>
              <w:rPr>
                <w:rFonts w:ascii="Times New Roman;Times;serif" w:hAnsi="Times New Roman;Times;serif"/>
                <w:color w:val="000000"/>
                <w:sz w:val="20"/>
              </w:rPr>
              <w:t xml:space="preserve"> The fact that there is no financing condition to the consummation of the Merger, and that onsemi has already obtained committed financing for the transaction from Morgan Stanley Senior Funding, Inc., the reputation of Morgan Stanley, which increases the likelihood of the financing being available, and the obligation of onsemi to use its reasonable best efforts to take all actions to consummate the debt financing.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Best Available Strategic Alternative</w:t>
            </w:r>
            <w:r>
              <w:rPr>
                <w:rFonts w:ascii="Times New Roman;Times;serif" w:hAnsi="Times New Roman;Times;serif"/>
                <w:color w:val="000000"/>
                <w:sz w:val="20"/>
              </w:rPr>
              <w:t>. That the Synaptics board and the special committee reviewed possible alternatives to the Merger over a period of time and consulted with Synaptics’ management and financial and legal advisors about those alternatives, including continuing to operate Synaptics as an independent company and pursuing a business combination with another party. Synaptics’ financial advisor assessed the market for a potential business combination and reached out on Synaptics’ behalf to potential counterparties after the original unsolicited expression of interest in a strategic combination by Party A, and Synaptics engaged in certain discussions, entered into non-disclosure agreements and facilitated preliminary due diligence with several counterparties, all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Following the execution of the Merger Agreement (prior to the October 1 amendments), the Synaptics board and the special committee further evaluated strategic alternatives in light of Party A’s unsolicited post-signing acquisition proposal, which initiated a competitive process between onsemi and Party A that included multiple rounds of proposals and counterproposals, extensive negotiations regarding price, consideration mix, deal certainty and other material terms, and culminated in the Merger Agreement. Based on the totality of the process conducted, including the pre-signing outreach to potential counterparties (none of which, other than onsemi and Party A, ultimately submitted an acquisition proposal prior to execution of the Merger Agreement (prior to the October 1 amendments)), the post-signing competitive dynamic between onsemi and Party A, the more-than-three-month period following signing of the Merger Agreement (prior to the October 1 amendments) and through the execution of the Merger Agreement during which only Party A submitted any further acquisition proposals to Synaptics, the alternatives considered, and the advice of Synaptics’ financial advisor, the Synaptics board and the special committee concluded that (i) no other potential counterparty (including Party A) was then likely to pursue a transaction on terms more favorable to Synaptics stockholders than the Merger, with the Merger Consideration reflecting an approximately 20% increase in value from the Merger (prior to the October 1 amendments), based on onsemi’s stock price on September 29, 2026, the last trading day before the Synaptics board approved the Merger Agreement; and (ii) the Merger is the best available option for Synaptics and its stockholders, with the Merger Consideration constituting the highest price reasonably obtainable for Synaptics stockholders under the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Extensive Negotiations and Revised Form and Amount of Merger Consideration</w:t>
            </w:r>
            <w:r>
              <w:rPr>
                <w:rFonts w:ascii="Times New Roman;Times;serif" w:hAnsi="Times New Roman;Times;serif"/>
                <w:color w:val="000000"/>
                <w:sz w:val="20"/>
              </w:rPr>
              <w:t xml:space="preserve">. The Merger Consideration and other transaction terms resulted from extensive negotiations between Synaptics and onsemi and their respective advisors, which were materially informed and enhanced by the competitive dynamic arising from Party A’s post-signing proposals and additional negotiations between Synaptics and Party A,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2" w:name="ny20081083x2_defm14a_113-merger_pg26"/>
        <w:bookmarkEnd w:id="10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The resulting Merger Consideration of $123.00 per share entirely in cash provides value certainty to Synaptics stockholders and reflects an effective price increase from the Merger (prior to the October 1 amendments) of approximately 20% based on onsemi’s trading price as of September 29, 2026, the last trading day before the Synaptics board approved the Merger Agreement. The Synaptics board and the special committee considered that (i) Synaptics was able to obtain a significant price increase in light of then-current stock prices and a change to all-cash consideration from onsemi, (ii) during the period between the date of the Merger Agreement (prior to the October 1 amendments) and the date of the Merger Agreement, no party other than onsemi and Party A indicated that it would put forth a competing proposal, and (iii) onsemi further increased its proposed all-cash consideration in light of the negotiation process with Party A. The Synaptics board and the special committee believed that, based on the full course of negotiations with both onsemi and Party A, together with the totality of the process conducted, including the counterparty outreach conducted prior to execution of the Merger Agreement (prior to the October 1 amendments), the Merger Consideration represented the highest price reasonably obtainable for Synaptics stockholders under the circumstances.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Revised Party A Proposal Deal and Value Uncertainty</w:t>
            </w:r>
            <w:r>
              <w:rPr>
                <w:rFonts w:ascii="Times New Roman;Times;serif" w:hAnsi="Times New Roman;Times;serif"/>
                <w:color w:val="000000"/>
                <w:sz w:val="20"/>
              </w:rPr>
              <w:t xml:space="preserve">. The fact that, while the Revised Party A Proposal may reflect some implied notional value above the Merger Consideration (if calculated based on Party A’s stock price on September 29, 2026, the last close of trading day prior to the Synaptics board’s approval of the Merger Agreement), the Synaptics board and the special committee, having consulted with Synaptics’ financial and legal advisors, believed the difference in implied price as of such moment was more than offset by (i) the fact that the Revised Party A Proposal would require approval from Party A’s stockholders and contained other elements of conditionality, decreasing certainty around the parties’ abilities to consummate the merger contemplated by the Revised Party A Proposal as well as the significant progress already made by the parties in satisfying the closing conditions under the Merger Agreement, (ii) the Synaptics board’s and the special committee’s view of the intrinsic value of Party A’s stock after analyzing certain business and financial data and projections provided by Party A, which in their view presented a risk of a future price correction relative to its historical trading prices, compared to the Merger Consideration to be paid by onsemi being entirely in the form of cash, providing significant value certainty to Synaptics stockholders, and (iii) based on precedent acquisition announcements, including the announcement of the Merger (prior to the October 1 amendments), the likelihood of Party A share price decline post-acquisition announcement.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Synaptics Stockholder Approval</w:t>
            </w:r>
            <w:r>
              <w:rPr>
                <w:rFonts w:ascii="Times New Roman;Times;serif" w:hAnsi="Times New Roman;Times;serif"/>
                <w:color w:val="000000"/>
                <w:sz w:val="20"/>
              </w:rPr>
              <w:t xml:space="preserve">. Completing the Merger and the other transactions under the Merger Agreement is conditioned on Synaptics stockholders adopting the Merger Agreement. The Synaptics board and the special committee considered that the Revised Party A Proposal consisted of a significant portion of Party A stock, the value of which was subject to significant volatility following the execution of the Merger Agreement (prior to the October 1 amendments), as compared to the all-cash Merger Consideration of $123.00 per share under the Merger Agreement as providing Synaptics stockholders with certainty of value that was not previously available under the Merger Agreement (prior to the October 1 amendments) or pursuant to the Revised Party A Proposal. The Synaptics board and the special committee further considered that Synaptics stockholders who believe the standalone value of Synaptics common stock exceeds the per share Merger Consideration will retain the ability to vote against adoption of the Merger Agreement at the stockholders’ meeting and will have appraisal rights under Delaware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Risks Related to Synaptics’ Standalone Business Plan. </w:t>
            </w:r>
            <w:r>
              <w:rPr>
                <w:rFonts w:ascii="Times New Roman;Times;serif" w:hAnsi="Times New Roman;Times;serif"/>
                <w:color w:val="000000"/>
                <w:sz w:val="20"/>
              </w:rPr>
              <w:t xml:space="preserve">The risks and uncertainties of Synaptics remaining an independent public company and pursuing its standalone plan, including the substantial ongoing investment required in research and development, investments in go-to-market sales and distribution channels, strategic technology acquisitions, and equity-based talent retention programs, as well as execution risk and competitive pressures in Synaptics’ strategic plan in an evolving semiconductor market, and the following related factors: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growing challenges in the semiconductor industry, with increasingly higher development and manufacturing costs, resulting need for scale, wide fluctuations in product supply and demand, and increased costs of developing such products;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achieving Synaptics’ growth plans given (i) current and foreseeable market conditions, including risks and uncertainties in the U.S. and global economy, and (ii) the current and anticipated competitive landscape and Synaptics’ ability to compete successfully in the semiconductor industry broadly and specifically in Edge AI processing and connectivity, which each include numerous larger, well-financed competitors with significantly greater customer reach and broader channel presence than Synaptics;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3" w:name="ny20081083x2_defm14a_113-merger_pg27"/>
        <w:bookmarkEnd w:id="103"/>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dependence on its solutions for the Core Internet of Things, Enterprise, and Automotive and Mobile markets and its concentrated base of original equipment manufacturers and original design manufacturers, as discussed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ability to carry out its strategic vision, and other risks and uncertainties discussed in Synaptics’ other public filings with the SEC.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Continued Ability to Consider Superior Proposals</w:t>
            </w:r>
            <w:r>
              <w:rPr>
                <w:rFonts w:ascii="Times New Roman;Times;serif" w:hAnsi="Times New Roman;Times;serif"/>
                <w:color w:val="000000"/>
                <w:sz w:val="20"/>
              </w:rPr>
              <w:t xml:space="preserve">. Under certain circumstances and subject to certain conditions in the Merger Agreement, in light of the Synaptics board’s fiduciary duties under applicable law, the Synaptics board may continue to consider and respond to a bona fide written acquisition proposal (as defined below) for Synaptics, including any such further proposals from Party A, negotiate with a third party making such a proposal, and terminate the Merger Agreement to accept a superior proposal (as defined below), subject to, among other things, certain notice requirements and payment of a company termination fee of $235 million by Synaptics to onsemi, as further described in “—Termination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Continued Ability to Effect Change in Company Board Recommendation</w:t>
            </w:r>
            <w:r>
              <w:rPr>
                <w:rFonts w:ascii="Times New Roman;Times;serif" w:hAnsi="Times New Roman;Times;serif"/>
                <w:color w:val="000000"/>
                <w:sz w:val="20"/>
              </w:rPr>
              <w:t xml:space="preserve">. Subject to compliance with the applicable provisions of the Merger Agreement, the Synaptics board may, before Synaptics stockholders approve the Merger, change the Synaptics board recommendation in certain circumstances if the Synaptics board determines in good faith that failing to do so would reasonably be expected to be inconsistent with its fiduciary duties to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In certain circumstances (including if onsemi terminates the Merger Agreement following a change of recommendation by the Synaptics board, or if Synaptics terminates to enter into a definitive agreement for a superior proposal), Synaptics must pay onsemi a termination fee of $235 million (representing approximately 4% of the enterprise value of the transaction at signing). After consulting with Synaptics’ legal counsel and financial advisor, the Synaptics board and the special committee viewed this fee as reasonable under the circumstances and not likely to preclude or unduly discourage another party from making a competing acquisition proposal, especially in light of the unsolicited proposal from Party A following execution of the Merger Agreement (prior to the October 1 amendments), in connection with which Party A was willing to pay such termination fee to onsemi on behalf of Synaptics in connection with entry by Synaptics into its proposed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Termination Fee</w:t>
            </w:r>
            <w:r>
              <w:rPr>
                <w:rFonts w:ascii="Times New Roman;Times;serif" w:hAnsi="Times New Roman;Times;serif"/>
                <w:color w:val="000000"/>
                <w:sz w:val="20"/>
              </w:rPr>
              <w:t xml:space="preserve">. If the Merger Agreement is terminated in certain circumstances following a failure to obtain required regulatory approvals, onsemi must pay Synaptics a regulatory termination fee of $320 million (representing approximately 5.5% of the enterprise value of the transaction at signing). Even after receiving this fee, Synaptics would still be entitled to seek damages from onsemi on behalf of Synaptics stockholders for fraud or intentional and material breaches of the Merger Agreement. After consulting with Synaptics’ legal counsel and financial advisor, the Synaptics board and the special committee viewed the regulatory termination fee as reasonable under the circumstances.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 xml:space="preserve">Likelihood of Consummation. </w:t>
            </w:r>
            <w:r>
              <w:rPr>
                <w:rFonts w:ascii="Times New Roman;Times;serif" w:hAnsi="Times New Roman;Times;serif"/>
                <w:color w:val="000000"/>
                <w:sz w:val="20"/>
              </w:rPr>
              <w:t xml:space="preserve">The Synaptics board and the special committee determined that the Merger is likely to be completed in a timely manner given both parties’ commitment to complete the transaction under the Merger Agreement and the parties’ course of dealing during the period following the execution of the Merger Agreement (prior to the October 1 amendments), and as compared to the Revised Party A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Regulatory Matters</w:t>
            </w:r>
            <w:r>
              <w:rPr>
                <w:rFonts w:ascii="Times New Roman;Times;serif" w:hAnsi="Times New Roman;Times;serif"/>
                <w:color w:val="000000"/>
                <w:sz w:val="20"/>
              </w:rPr>
              <w:t xml:space="preserve">. The Synaptics board’s and the special committee’s view, after consultation with Synaptics’ senior management and legal counsel, that the transaction has a reasonable likelihood of obtaining the regulatory approvals and clearances necessary to consummate the Merger, having already received HSR approval.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Opinion of Qatalyst Partners LP, Synaptics’ Financial Advisor</w:t>
            </w:r>
            <w:r>
              <w:rPr>
                <w:rFonts w:ascii="Times New Roman;Times;serif" w:hAnsi="Times New Roman;Times;serif"/>
                <w:color w:val="000000"/>
                <w:sz w:val="20"/>
              </w:rPr>
              <w:t xml:space="preserve">. The Synaptics board considered Qatalyst Partners’ opinion that, as of September 29, 2026, based upon and subject to the various assumptions, qualifications, limitations and other matters described in the opinion, the Merger Consideration to be received by holders of shares of Synaptics common stock (other than onsemi or any affiliate of onsemi) pursuant to, and in accordance with, the terms of the Merger Agreement was fair, from a financial point of view, to such holders. The Synaptics board also considered the financial analyses prepared by Qatalyst Partners, as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4" w:name="ny20081083x2_defm14a_113-merger_pg28"/>
        <w:bookmarkEnd w:id="10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pPr>
      <w:r>
        <w:rPr>
          <w:rFonts w:ascii="Times New Roman;Times;serif" w:hAnsi="Times New Roman;Times;serif"/>
          <w:color w:val="000000"/>
          <w:sz w:val="20"/>
        </w:rPr>
        <w:t xml:space="preserve">reviewed and discussed with the Synaptics board and the special committee, as more fully described in the section titled “—Opinion of Qatalyst Partners LP, Synaptics’ Financial Advisor” beginning on page </w:t>
      </w:r>
      <w:hyperlink w:anchor="tOOQP">
        <w:r>
          <w:rPr>
            <w:rStyle w:val="InternetLink"/>
            <w:rFonts w:ascii="Times New Roman;Times;serif" w:hAnsi="Times New Roman;Times;serif"/>
            <w:color w:val="000080"/>
            <w:sz w:val="20"/>
          </w:rPr>
          <w:t>64</w:t>
        </w:r>
      </w:hyperlink>
      <w:r>
        <w:rPr>
          <w:rFonts w:ascii="Times New Roman;Times;serif" w:hAnsi="Times New Roman;Times;serif"/>
          <w:color w:val="000000"/>
          <w:sz w:val="20"/>
        </w:rPr>
        <w:t xml:space="preserve"> of this proxy statement. The full text of Qatalyst Partners’ written opinion is attached as Annex B to this proxy statement and is incorporated by reference.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Synaptics board and the special committee reviewed the restrictions on Synaptics’ business and operations, and the affirmative obligations imposed on Synaptics under the Merger Agreement, during the period before the Merger closes and concluded that Synaptics is reasonably likely to be able to comply with those restrictions and to satisfy those obligations without a meaningful adverse impact on its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Business Relationship Enhancements.</w:t>
            </w:r>
            <w:r>
              <w:rPr>
                <w:rFonts w:ascii="Times New Roman;Times;serif" w:hAnsi="Times New Roman;Times;serif"/>
                <w:color w:val="000000"/>
                <w:sz w:val="20"/>
              </w:rPr>
              <w:t xml:space="preserve"> The Synaptics board’s and special committee’s belief, based, among other factors, on the reaction following announcement of the Merger (prior to the October 1 amendments), that: (i) employees, customers, suppliers, partners, joint venturers, and other key constituents of Synaptics and the communities in which Synaptics operates would react positively to the Merger, thereby reducing the risk of disruption to Synaptics’ business during the pendency of the Merger and supporting the timely consummation of the transactions contemplated by the Merger Agreement, (ii) the combination with onsemi would support continuity in Synaptics’ existing customer and supplier relationships through the closing of the Merger, reducing the likelihood of adverse developments that could impair the value of Synaptics’ business prior to closing, and (iii) the Merger would provide Synaptics employees with continued employment opportunities and access to the resources of a larger and better capitalized organization, which the Synaptics board and the special committee believed would support employee retention during the period between signing and closing and thereby preserve the value of Synaptics’ business for the benefit of its stockholders.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Other Terms of the Merger Agreement</w:t>
            </w:r>
            <w:r>
              <w:rPr>
                <w:rFonts w:ascii="Times New Roman;Times;serif" w:hAnsi="Times New Roman;Times;serif"/>
                <w:color w:val="000000"/>
                <w:sz w:val="20"/>
              </w:rPr>
              <w:t xml:space="preserve">. The Synaptics board and the special committee reviewed the terms of the Merger Agreement as a whole, including the parties’ representations, warranties, and covenants, and the circumstances under which the Merger Agreement may be terminated, and concluded that those terms are fair to, advisable and in the best interests of Synaptics and Synaptics stockholders. The Synaptics board and the special committee noted in particular that completing the Merger does not require onsemi stockholder approval, which increases the likelihood that the Merger will be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Appraisal Rights</w:t>
            </w:r>
            <w:r>
              <w:rPr>
                <w:rFonts w:ascii="Times New Roman;Times;serif" w:hAnsi="Times New Roman;Times;serif"/>
                <w:color w:val="000000"/>
                <w:sz w:val="20"/>
              </w:rPr>
              <w:t xml:space="preserve">. The Synaptics board considered the fact that, under the General Corporation Law of the State of Delaware (the “DGCL”), holders of shares of Synaptics common stock who do not vote in favor of the adoption of the Merger Agreement and comply with all required procedures under the DGCL will have the right to exercise statutory appraisal rights and receive payment of the “fair value” of their shares, as determined by the Delaware Court of Chancery, which may be more than, less than, or the same as the amount such stockholder would have received under the Merger Agreement. The Synaptics board further noted that the Merger Agreement does not contain any closing condition or termination right in favor of onsemi relating to the exercise of appraisal or dissent rights by Synaptics stockholders, and, accordingly, the availability and exercise of such rights by any stockholder will not impair the certainty of closing or otherwise prejudice the rights of non-dissenting stockholders to receive the Merger Consideration. Stockholders are urged to read carefully the section of this proxy statement entitled “Appraisal Rights” and to consult with their own legal advisors regarding the requirements and procedures for exercising, and the potential consequences of exercising or failing to exercise, appraisal rights.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also considered various risks and other potentially negative factors related to the Merger Agreement and the Merger, including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No Participation in Future Upside</w:t>
            </w:r>
            <w:r>
              <w:rPr>
                <w:rFonts w:ascii="Times New Roman;Times;serif" w:hAnsi="Times New Roman;Times;serif"/>
                <w:color w:val="000000"/>
                <w:sz w:val="20"/>
              </w:rPr>
              <w:t>. The Synaptics board recognized that the all-cash Merger Consideration will not allow Synaptics’ stockholders to participate in any synergies that may be realized following the closing of the Merger, or in any potential future growth, earnings improvements, or other value that may be created by the combined business following the transaction.</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Fixed Cash Consideration</w:t>
            </w:r>
            <w:r>
              <w:rPr>
                <w:rFonts w:ascii="Times New Roman;Times;serif" w:hAnsi="Times New Roman;Times;serif"/>
                <w:color w:val="000000"/>
                <w:sz w:val="20"/>
              </w:rPr>
              <w:t>. The risk that, because the Merger Consideration is all cash, Synaptics stockholders will not benefit from an increase in either Synaptics’ or onsemi’s stock price while the Merger is pending.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Tax Consequences</w:t>
            </w:r>
            <w:r>
              <w:rPr>
                <w:rFonts w:ascii="Times New Roman;Times;serif" w:hAnsi="Times New Roman;Times;serif"/>
                <w:color w:val="000000"/>
                <w:sz w:val="20"/>
              </w:rPr>
              <w:t xml:space="preserve">. The Synaptics board recognized that, for holders of Synaptics common stock who are U.S. persons, the receipt of all-cash consideration in the Merger will generally be a taxable transaction for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5" w:name="ny20081083x2_defm14a_113-merger_pg29"/>
        <w:bookmarkEnd w:id="10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U.S. federal income tax purposes. The tax consequences of the Merger will vary depending on each individual stockholder’s particular circumstances, and stockholders are urged to consult with their own tax advisors regarding the specific tax consequences of the Merger to them.</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Revised Party A Proposal</w:t>
            </w:r>
            <w:r>
              <w:rPr>
                <w:rFonts w:ascii="Times New Roman;Times;serif" w:hAnsi="Times New Roman;Times;serif"/>
                <w:color w:val="000000"/>
                <w:sz w:val="20"/>
              </w:rPr>
              <w:t>. The fact that the Revised Party A Proposal, as ultimately negotiated, had a higher implied notional value than the Amendment Proposal, if calculated based on Party A’s stock price on September 29, 2026, the last close of trading before the Synaptics board approved the Merger Agreement, representing approximately $8.36 more per share, which if the transactions contemplated by the Revised Party A Proposal were (i) to be consummated, and consummated without significant delay as compared to the anticipated timeline for consummation of the Merger with onsemi, and (ii) consummated prior to, or in the absence of, any decrease in Party A’s share price, could potentially provide Synaptics stockholders with more value.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Different Strategic Alternatives</w:t>
            </w:r>
            <w:r>
              <w:rPr>
                <w:rFonts w:ascii="Times New Roman;Times;serif" w:hAnsi="Times New Roman;Times;serif"/>
                <w:color w:val="000000"/>
                <w:sz w:val="20"/>
              </w:rPr>
              <w:t xml:space="preserve">. The risk that a different strategic alternative could potentially be more beneficial to Synaptics stockholders than the Merger, although no alternative acquisition proposals as attractive, while having the same value certainty and closing certainty, as onsemi’s Amendment Proposal had materialized or were reasonably expected to materialize based on the process conducted by Synaptics and its financial advisor as further described in the section titled “—Background of the Merger” beginning on page </w:t>
            </w:r>
            <w:hyperlink w:anchor="tBCG">
              <w:r>
                <w:rPr>
                  <w:rStyle w:val="InternetLink"/>
                  <w:rFonts w:ascii="Times New Roman;Times;serif" w:hAnsi="Times New Roman;Times;serif"/>
                  <w:color w:val="000080"/>
                  <w:sz w:val="20"/>
                </w:rPr>
                <w:t>32</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Loss of Standalone Business</w:t>
            </w:r>
            <w:r>
              <w:rPr>
                <w:rFonts w:ascii="Times New Roman;Times;serif" w:hAnsi="Times New Roman;Times;serif"/>
                <w:color w:val="000000"/>
                <w:sz w:val="20"/>
              </w:rPr>
              <w:t xml:space="preserve">. The fact that Synaptics will no longer exist as an independent public company.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Company Termination Fee</w:t>
            </w:r>
            <w:r>
              <w:rPr>
                <w:rFonts w:ascii="Times New Roman;Times;serif" w:hAnsi="Times New Roman;Times;serif"/>
                <w:color w:val="000000"/>
                <w:sz w:val="20"/>
              </w:rPr>
              <w:t xml:space="preserve">. Synaptics’ obligation to pay onsemi a termination fee of $235 million, depending on, among other factors, whether a third party making a superior proposal (as defined below) meets certain criteria in the Merger Agreement, as further described in the sections titled “—Termination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and “—No Solicitation” beginning on page </w:t>
            </w:r>
            <w:hyperlink w:anchor="tNSOO">
              <w:r>
                <w:rPr>
                  <w:rStyle w:val="InternetLink"/>
                  <w:rFonts w:ascii="Times New Roman;Times;serif" w:hAnsi="Times New Roman;Times;serif"/>
                  <w:color w:val="000080"/>
                  <w:sz w:val="20"/>
                </w:rPr>
                <w:t>95</w:t>
              </w:r>
            </w:hyperlink>
            <w:r>
              <w:rPr>
                <w:rFonts w:ascii="Times New Roman;Times;serif" w:hAnsi="Times New Roman;Times;serif"/>
                <w:color w:val="000000"/>
                <w:sz w:val="20"/>
              </w:rPr>
              <w:t xml:space="preserve"> of this proxy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Interim Operating Covenants and Other Obligations</w:t>
            </w:r>
            <w:r>
              <w:rPr>
                <w:rFonts w:ascii="Times New Roman;Times;serif" w:hAnsi="Times New Roman;Times;serif"/>
                <w:color w:val="000000"/>
                <w:sz w:val="20"/>
              </w:rPr>
              <w:t xml:space="preserve">. The restrictions on Synaptics’ business and operations while the Merger is pending and its other obligations under the Merger Agreement, and although the Synaptics board and the special committee concluded that these restrictions are reasonable and reasonably capable of being satisfied, they may delay or prevent Synaptics from pursuing business opportunities that may arise or taking other actions with respect to Synaptics’ operations before the Merger is completed, including actions that may be needed to obtain new customers for Synaptics’ semiconductor products and solutions business. The Synaptics board and the special committee also considered the risk that Synaptics may fail to be able to satisfy these restrictions, and the affirmative obligations imposed on Synaptics under the Merger Agreement, which failure may result in a failure to satisfy the related closing condition, allowing onsemi to elect not to complete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Financing Cooperation</w:t>
            </w:r>
            <w:r>
              <w:rPr>
                <w:rFonts w:ascii="Times New Roman;Times;serif" w:hAnsi="Times New Roman;Times;serif"/>
                <w:color w:val="000000"/>
                <w:sz w:val="20"/>
              </w:rPr>
              <w:t>. The Merger Agreement imposes obligations upon Synaptics to use its reasonable best efforts to provide financing cooperation in connection with onsemi’s debt financing, which will require a meaningful commitment of management and employee time, effort and resources during the pendency of the Merger.</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the Pendency of the Merger</w:t>
            </w:r>
            <w:r>
              <w:rPr>
                <w:rFonts w:ascii="Times New Roman;Times;serif" w:hAnsi="Times New Roman;Times;serif"/>
                <w:color w:val="000000"/>
                <w:sz w:val="20"/>
              </w:rPr>
              <w:t xml:space="preserve">. The risks and contingencies related to the announcement and pendency of the Merger (including the likelihood of litigation or other challenges to the Merger and the other transactions under the Merger Agreement) and the risks and costs to Synaptics if the Merger is not completed in a timely manner or does not close at all, including potential employee attrition, the impact on Synaptics’ relationships with customers, suppliers, licensors, licensees, service providers, consultants, employees, and other important business counterparties, and the effect that termination of the Merger Agreement may have on Synaptics’ stock price and operating results. The Synaptics board and the special committee also considered the possibility that the Merger may not be completed, or that completion may be delayed for reasons beyond the control of Synaptics or onsemi, including the failure of Synaptics stockholders to approve the Merger Proposal or the failure of Synaptics or onsemi to satisfy other closing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Opportunity to Receive Acquisition Proposals and to Terminate the Merger in Order to Accept a Superior Proposal</w:t>
            </w:r>
            <w:r>
              <w:rPr>
                <w:rFonts w:ascii="Times New Roman;Times;serif" w:hAnsi="Times New Roman;Times;serif"/>
                <w:color w:val="000000"/>
                <w:sz w:val="20"/>
              </w:rPr>
              <w:t xml:space="preserve">. The possibility that a third party may be willing to enter into a strategic combination with Synaptics on terms more favorable than the Merger. In this regard, the Synaptics board and the special committee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59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6" w:name="ny20081083x2_defm14a_113-merger_pg30"/>
        <w:bookmarkEnd w:id="10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pPr>
      <w:r>
        <w:rPr>
          <w:rFonts w:ascii="Times New Roman;Times;serif" w:hAnsi="Times New Roman;Times;serif"/>
          <w:color w:val="000000"/>
          <w:sz w:val="20"/>
        </w:rPr>
        <w:t xml:space="preserve">considered the Merger Agreement’s restrictions on Synaptics’ ability to initiate, seek, solicit, or knowingly encourage or facilitate any inquiries or proposals from a third party regarding an acquisition proposal, or to disclose non-public information to, or engage in discussions or negotiations with, a third party interested in pursuing an alternative business combination transaction. However, these restrictions do not apply if a third party has made an unsolicited bona fide written acquisition proposal (as defined below) that constitutes or is reasonably likely to lead to a superior proposal (as defined below) and that third party enters into a confidentiality agreement with Synaptics having terms no less favorable than those in the confidentiality agreement between Synaptics and onsemi, as further described in the section titled “—No Solicitation” beginning on page </w:t>
      </w:r>
      <w:hyperlink w:anchor="tNSOO">
        <w:r>
          <w:rPr>
            <w:rStyle w:val="InternetLink"/>
            <w:rFonts w:ascii="Times New Roman;Times;serif" w:hAnsi="Times New Roman;Times;serif"/>
            <w:color w:val="000080"/>
            <w:sz w:val="20"/>
          </w:rPr>
          <w:t>95</w:t>
        </w:r>
      </w:hyperlink>
      <w:r>
        <w:rPr>
          <w:rFonts w:ascii="Times New Roman;Times;serif" w:hAnsi="Times New Roman;Times;serif"/>
          <w:color w:val="000000"/>
          <w:sz w:val="20"/>
        </w:rPr>
        <w:t xml:space="preserve"> of this proxy statement.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Risks Associated with Regulatory Approval</w:t>
            </w:r>
            <w:r>
              <w:rPr>
                <w:rFonts w:ascii="Times New Roman;Times;serif" w:hAnsi="Times New Roman;Times;serif"/>
                <w:color w:val="000000"/>
                <w:sz w:val="20"/>
              </w:rPr>
              <w:t xml:space="preserve">. The Merger is conditioned on, among other things, the receipt of certain specified antitrust and foreign investment approvals (with clearance under the HSR Act having already been obtained) and the absence of any legal restraint in certain jurisdictions prohibiting or preventing the Merger from being completed. Synaptics and onsemi have agreed to use their respective reasonable best efforts to take all actions necessary to complete the Merger and the other transactions under the Merger Agreement as soon as reasonably practicable, including by using reasonable best efforts to obtain any approval from any governmental entity or third party that is or may become necessary, proper, or advisable to complete the transactions under the Merger Agreement, or to defend any lawsuits or other legal proceedings challenging the Merger Agreement or the transactions contemplated thereby. In addition, onsemi has agreed to use reasonable best efforts regarding selling, divesting, holding separate, leasing, licensing, transferring, disposing of, committing to behavioral or conduct remedies, or otherwise limiting or taking any other action with respect to onsemi’s ability to own or operate any assets, properties, businesses, or product lines of onsemi or its affiliates, or any assets, properties, businesses, or product lines of Synaptics or any of its affiliates (“regulatory remedies”). However, onsemi is not required to offer or agree to any regulatory remedies that, individually or in the aggregate, would have a material adverse effect on (i) the business or financial condition of Synaptics and its subsidiaries, taken as a whole, or (ii) the business or financial condition of onsemi and its subsidiaries, taken as a whole (including the benefits reasonably expected to be realized by onsemi through the completion of the Merger), which effect for purposes of clause (ii) is measured on a scale and size relative to the scale and size of Synaptics and its subsidiaries, taken as a whole. The Synaptics board and the special committee also considered that if the Merger Agreement is terminated because the required regulatory approvals are not obtained by the End Date, because a final and non-appealable legal restraint related to required regulatory approvals prohibits or prevents the Merger from being completed, or, under certain circumstances, because of onsemi’s material breach of its regulatory efforts obligations under the Merger Agreement, onsemi would be required to pay Synaptics a regulatory termination fee of $320 million. This fee would be Synaptics’ sole and exclusive remedy for damages against onsemi except in the case of fraud or any intentional and material breach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Litigation.</w:t>
            </w:r>
            <w:r>
              <w:rPr>
                <w:rFonts w:ascii="Times New Roman;Times;serif" w:hAnsi="Times New Roman;Times;serif"/>
                <w:color w:val="000000"/>
                <w:sz w:val="20"/>
              </w:rPr>
              <w:t xml:space="preserve"> The potential for litigation related to the Merger and the associated costs, burden, and inconvenience of defending any such proceedings.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Merger Costs</w:t>
            </w:r>
            <w:r>
              <w:rPr>
                <w:rFonts w:ascii="Times New Roman;Times;serif" w:hAnsi="Times New Roman;Times;serif"/>
                <w:color w:val="000000"/>
                <w:sz w:val="20"/>
              </w:rPr>
              <w:t xml:space="preserve">. The significant costs of completing the Merger, including the time and energy required of Synaptics management, the potential opportunity cost to the combined company, and the transaction expenses arising from the Merger, including costs that might not be recoverable if the Merger is not ultimately completed.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i/>
                <w:color w:val="000000"/>
                <w:sz w:val="20"/>
              </w:rPr>
              <w:t>Third-Party Consents</w:t>
            </w:r>
            <w:r>
              <w:rPr>
                <w:rFonts w:ascii="Times New Roman;Times;serif" w:hAnsi="Times New Roman;Times;serif"/>
                <w:color w:val="000000"/>
                <w:sz w:val="20"/>
              </w:rPr>
              <w:t xml:space="preserve">. The risk that Synaptics and onsemi may be required to complete the Merger without having obtained appropriate consents, approvals, or waivers from counterparties under certain of Synaptics’ contracts that require consent or approval for the Merger. There is also a risk that completing the Merger could trigger the termination of, or default under, such contracts, or allow counterparties to exercise rights under those contracts. Synaptics must use its reasonable best efforts to obtain such consents, approvals, and waivers.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i/>
                <w:color w:val="000000"/>
                <w:sz w:val="20"/>
              </w:rPr>
              <w:t>Other Risks</w:t>
            </w:r>
            <w:r>
              <w:rPr>
                <w:rFonts w:ascii="Times New Roman;Times;serif" w:hAnsi="Times New Roman;Times;serif"/>
                <w:color w:val="000000"/>
                <w:sz w:val="20"/>
              </w:rPr>
              <w:t>. Risks of the type and nature described under the section titled “Cautionary Statement Regarding Forward-Looking Statements” beginning on page </w:t>
            </w:r>
            <w:hyperlink w:anchor="tFLS">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of this proxy statement and in documents Synaptics has filed with the SEC under the section titled “Risk Factors.”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7" w:name="ny20081083x2_defm14a_113-merger_pg31"/>
        <w:bookmarkEnd w:id="10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In addition to the factors described above, the Synaptics board and the special committee considered the fact that some of Synaptics’ directors and executive officers have interests in the Merger that are different from, or in addition to, the interests of Synaptics stockholders generally, as discussed under “Interests of Synaptics’ Directors and Executive Officers in the Merger” beginning on page </w:t>
      </w:r>
      <w:hyperlink w:anchor="tIOS">
        <w:r>
          <w:rPr>
            <w:rStyle w:val="InternetLink"/>
            <w:rFonts w:ascii="Times New Roman;Times;serif" w:hAnsi="Times New Roman;Times;serif"/>
            <w:color w:val="000080"/>
            <w:sz w:val="20"/>
          </w:rPr>
          <w:t>109</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and the special committee believed that, overall, the potential benefits of the Merger to Synaptics stockholders outweighed the potential risks and uncertainties.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of the information and factors the Synaptics board and the special committee considered in reaching their conclusions and recommendations is not intended to be exhaustive and is not provided in any specific order or ranking, but it does set forth the material factors they considered. Given the wide variety of factors and the complexity of these matters, the Synaptics board and the special committee did not find it practicable to, and did not attempt to, quantify, rank, or assign relative or specific weight or values to any of these factors. Different members of the Synaptics board and the special committee may have given different weight to different factors. The Synaptics board and the special committee viewed their respective positions and recommendations as being based on an overall review of all the information available to them and overall considered these factors to be favorable to, and to support, their respective determinations regarding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explanation of the reasoning of the Synaptics board and the special committee and all other information in this section is forward-looking in nature and should therefore be read in light of the factors discussed in the section titled “Cautionary Statement Regarding Forward-Looking Statements.”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reasons set forth above, the Synaptics board determined, following the special committee’s recommendation, that the Merger Agreement and the transactions it contemplates, including the Merger, are fair to and in the best interests of Synaptics and its stockholders, and approved the Merger Agreement and the transactions contemplated thereby, including the Merger, and declared them advisable. </w:t>
      </w:r>
      <w:r>
        <w:rPr>
          <w:rFonts w:ascii="Times New Roman;Times;serif" w:hAnsi="Times New Roman;Times;serif"/>
          <w:b/>
          <w:color w:val="000000"/>
          <w:sz w:val="20"/>
        </w:rPr>
        <w:t>The Synaptics board unanimously recommends that Synaptics stockholders vote “FOR” the Merger Proposal, “FOR” the Advisory Compensation Proposal and “FOR” the Adjournment Proposal.</w:t>
      </w:r>
      <w:r>
        <w:rPr>
          <w:rFonts w:ascii="Times New Roman;Times;serif" w:hAnsi="Times New Roman;Times;serif"/>
          <w:color w:val="000000"/>
          <w:sz w:val="20"/>
        </w:rPr>
        <w:t xml:space="preserve"> </w:t>
      </w:r>
    </w:p>
    <w:p>
      <w:pPr>
        <w:pStyle w:val="TextBody"/>
        <w:bidi w:val="0"/>
        <w:spacing w:before="400" w:after="283"/>
        <w:ind w:left="0" w:right="0" w:hanging="0"/>
        <w:jc w:val="left"/>
        <w:rPr>
          <w:rFonts w:ascii="Times New Roman;Times;serif" w:hAnsi="Times New Roman;Times;serif"/>
          <w:b/>
          <w:i/>
          <w:color w:val="000000"/>
          <w:sz w:val="20"/>
        </w:rPr>
      </w:pPr>
      <w:bookmarkStart w:id="108" w:name="tCUPF"/>
      <w:bookmarkEnd w:id="108"/>
      <w:r>
        <w:rPr>
          <w:rFonts w:ascii="Times New Roman;Times;serif" w:hAnsi="Times New Roman;Times;serif"/>
          <w:b/>
          <w:i/>
          <w:color w:val="000000"/>
          <w:sz w:val="20"/>
        </w:rPr>
        <w:t xml:space="preserve">Certain Unaudited Prospective Financial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Synaptics has historically provided public guidance on selected financial metrics for the immediately following fiscal quarter, and from time to time has provided public guidance on selected annual financial metrics, Synaptics does not, as a matter of course, publicly disclose long-term projections as to future revenues, earnings or other results given, among other reasons, the inherent difficulty of predicting financial performance for future periods and the uncertainty, unpredictability and subjectivity of underlying assumptions and estimates. However, in connection with the Merger, prior to the execution of the Merger Agreement (prior to the October 1 amendments), Synaptics management prepared and provided to the Synaptics board and the special committee in connection with their evaluation of the Merger, and to Synaptics’ financial advisor, Qatalyst Partners, in connection with its financial analyses and opinion, certain unaudited financial projections regarding Synaptics’ future performance for portions of its fiscal year 2026 and the entirety of its fiscal year 2027 through fiscal year 2032 on a standalone basis without giving effect to the Merger, including any costs incurred in connection with the Merger or the other transactions contemplated thereby, any changes to operations or strategy that may be implemented after the consummation of the Merger or any synergies related to the Merger, and without taking into account any impact from the announcement of the Merger Agreement (prior to the October 1 amendments) or the effect of any possible failure of the Merger to occur (the “Synaptics Management Projections”). As described further in the section titled “—Background of the Merger,” the Synaptics Management Projections were developed by Synaptics management on the basis of, and as a further update to, prior strategic planning by Synaptics management during the fourth quarter of 2025 and first quarter of 2026 to provide the Synaptics board and the special committee with a quantitative basis for assessing Synaptics’ value as an independent company and to inform negotiations with Party A and other potential counterparties. The special committee also approved the Synaptics Management Projections for use by Qatalyst Partners in connection with its financial analyses and opinion. Qatalyst Partners expressed no view as to the Synaptics Management Projections or the assumptions on which they were based. Synaptics also provided certain of the Synaptics Management Projections to onsemi in connection with the Merger prior to the execution of the Merger Agreement (prior to the October 1 amendments) as part of onsemi’s due diligence process and to Parties A through D in connection with their respective diligence reviews. After execution of the Merger Agreement (prior to the October 1 amendments) and following receipt of the Outside Proposal from Party A, the special committee subsequently confirmed the continued use of the Synaptics Management Projections to provide the Synaptics board and the special committee with a quantitative basis for assessing Synaptics’ value as an independent company and to inform negotiations with Party A and onsemi and by Qatalyst Partners in connection with its financial analyses and opinion.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09" w:name="ny20081083x2_defm14a_113-merger_pg32"/>
        <w:bookmarkEnd w:id="109"/>
        <w:r>
          <w:rPr>
            <w:rStyle w:val="InternetLink"/>
            <w:rFonts w:ascii="Times New Roman;Times;Serif" w:hAnsi="Times New Roman;Times;Serif"/>
            <w:b/>
            <w:caps w:val="false"/>
            <w:smallCaps w:val="false"/>
            <w:color w:val="000000"/>
            <w:sz w:val="16"/>
          </w:rPr>
          <w:t>TABLE OF CONTENTS</w:t>
        </w:r>
      </w:hyperlink>
    </w:p>
    <w:p>
      <w:pPr>
        <w:pStyle w:val="TextBody"/>
        <w:bidi w:val="0"/>
        <w:spacing w:lineRule="auto" w:line="240"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did not prepare or provide to Synaptics or its advisors any management-prepared financial projections or internal, financial forecasts with respect to onsemi in connection with the Merger (prior to the October 1 amendments), other than those projections or forecasts included as part of, and publicly disclosed through, onsemi’s September 16, 2026, investor day presentation, and Synaptics did not independently prepare, and the Synaptics board and the special committee were not provided, any Synaptics management-prepared financial projections or forecasts with respect to onsemi or the combined company in connection with the evaluation of the Merger (prior to the October 1 amendments). In performing its prior financial analyses and rendering its opinion with respect to the Merger, Qatalyst Partners utilized publicly available research analyst consensus estimates and publicly available market and trading data for onsemi, as described in greater detail in the section titled “—Background of the Merger.” Similarly, the Synaptics board, the special committee and Synaptics management considered, among other things, such publicly available research analyst consensus estimates and publicly available market and trading data for onsemi in reviewing onsemi’s proposals in conjunction with presentations from onsemi and customary diligence of onsemi by Synaptics, as described further in the section titled “—Background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included below a summary of the Synaptics Management Projections for the purpose of providing stockholders access to certain non-public information that was furnished to Qatalyst Partners and onsemi in connection with the Merger, and such information may not be appropriate for other purposes, and is not included to influence your decision, if you are a Synaptics stockholder, of whether to vote for the Merger Proposal, the Advisory Compensation Proposal or the Adjournment Proposal or make any investment decision with respect to the Merger, or for any other purpose. The inclusion of this summary should not be regarded as an indication that Synaptics management or anyone who received the Synaptics Management Projections then considered, or now considers, them to be a reliable prediction of future events, and, as a result of the foregoing and considering that the Special Meeting will be held several months after the Synaptics Management Projections were prepared, as well as the uncertainties inherent in any forecasted information, the Synaptics Management Projections should not be relied upon as such. This information is not fact and readers of this proxy statement are cautioned not to place undue reliance on the Synaptics Management Projections. These projections are not, and should not be viewed as, public guidance or targets.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prospective financial information was not prepared with a view toward compliance with published guidelines of the SEC or the guidelines established by the American Institute of Certified Public Accountants for preparation or presentation of prospective financial information. However, in the view of Synaptics management, the Synaptics Management Projections were prepared on a reasonable basis and reflect assumptions and estimates available at the time they were prepared. This unaudited prospective financial information requires significant estimates and assumptions that make it inherently less comparable to the similarly titled GAAP measures in Synaptics’ historical GAAP financial statements. The prospective financial information included in this document has been prepared by, and is the responsibility of, Synaptics’ management. KPMG LLP (“KPMG”), Synaptics’ independent registered public accounting firm, has not audited, reviewed, examined, compiled nor applied agreed-upon procedures with respect to the accompanying prospective financial information and, accordingly, KPMG does not express an opinion or any other form of assurance with respect thereto. Furthermore, the unaudited prospective financial information included in this proxy statement does not take into account any circumstances or events occurring after the date it was prepared.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While presented with numeric specificity, the Synaptics Management Projections were based on numerous variables and assumptions, including, among others, the following key assumptions: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total revenue would grow at a compound annual growth rate of approximately 14% from fiscal year 2026 through fiscal year 2032;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non-GAAP gross margins would expand from approximately 54% in fiscal year 2026 to approximately 56% in fiscal year 2032, and non-GAAP operating margins would expand from approximately 18% in fiscal year 2026 to approximately 26% in fiscal year 2032, reflecting operating leverage as revenue scales; </w:t>
            </w:r>
          </w:p>
        </w:tc>
      </w:tr>
    </w:tbl>
    <w:tbl>
      <w:tblPr>
        <w:tblW w:w="7945" w:type="dxa"/>
        <w:jc w:val="left"/>
        <w:tblInd w:w="0" w:type="dxa"/>
        <w:tblLayout w:type="fixed"/>
        <w:tblCellMar>
          <w:top w:w="0" w:type="dxa"/>
          <w:left w:w="0" w:type="dxa"/>
          <w:bottom w:w="0" w:type="dxa"/>
          <w:right w:w="0" w:type="dxa"/>
        </w:tblCellMar>
      </w:tblPr>
      <w:tblGrid>
        <w:gridCol w:w="110"/>
        <w:gridCol w:w="7835"/>
      </w:tblGrid>
      <w:tr>
        <w:trPr/>
        <w:tc>
          <w:tcPr>
            <w:tcW w:w="110" w:type="dxa"/>
            <w:tcBorders/>
            <w:vAlign w:val="center"/>
          </w:tcPr>
          <w:p>
            <w:pPr>
              <w:pStyle w:val="TableContents"/>
              <w:bidi w:val="0"/>
              <w:spacing w:before="0" w:after="0"/>
              <w:jc w:val="left"/>
              <w:rPr>
                <w:color w:val="000000"/>
              </w:rPr>
            </w:pPr>
            <w:r>
              <w:rPr>
                <w:color w:val="000000"/>
              </w:rPr>
              <w:t>•</w:t>
            </w:r>
          </w:p>
        </w:tc>
        <w:tc>
          <w:tcPr>
            <w:tcW w:w="78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effective cash tax rates ranging from approximately 14% to 20% over the projection period;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unlevered free cash flow margins would increase from approximately 18% in fiscal year 2027 to approximately 20% in fiscal years 2030 through 2032.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Synaptics Management Projections were based on numerous other variables and assumptions that are inherently subjective and uncertain and are beyond the control of Synaptics’ management, including, among others, assumptions related to: </w:t>
      </w:r>
    </w:p>
    <w:tbl>
      <w:tblPr>
        <w:tblW w:w="3925" w:type="dxa"/>
        <w:jc w:val="left"/>
        <w:tblInd w:w="0" w:type="dxa"/>
        <w:tblLayout w:type="fixed"/>
        <w:tblCellMar>
          <w:top w:w="0" w:type="dxa"/>
          <w:left w:w="0" w:type="dxa"/>
          <w:bottom w:w="0" w:type="dxa"/>
          <w:right w:w="0" w:type="dxa"/>
        </w:tblCellMar>
      </w:tblPr>
      <w:tblGrid>
        <w:gridCol w:w="110"/>
        <w:gridCol w:w="3815"/>
      </w:tblGrid>
      <w:tr>
        <w:trPr/>
        <w:tc>
          <w:tcPr>
            <w:tcW w:w="110" w:type="dxa"/>
            <w:tcBorders/>
            <w:vAlign w:val="center"/>
          </w:tcPr>
          <w:p>
            <w:pPr>
              <w:pStyle w:val="TableContents"/>
              <w:bidi w:val="0"/>
              <w:spacing w:before="0" w:after="0"/>
              <w:jc w:val="left"/>
              <w:rPr>
                <w:color w:val="000000"/>
              </w:rPr>
            </w:pPr>
            <w:r>
              <w:rPr>
                <w:color w:val="000000"/>
              </w:rPr>
              <w:t>•</w:t>
            </w:r>
          </w:p>
        </w:tc>
        <w:tc>
          <w:tcPr>
            <w:tcW w:w="381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timing and magnitude of new design wins;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0" w:name="ny20081083x2_defm14a_113-merger_pg33"/>
        <w:bookmarkEnd w:id="110"/>
        <w:r>
          <w:rPr>
            <w:rStyle w:val="InternetLink"/>
            <w:rFonts w:ascii="Times New Roman;Times;Serif" w:hAnsi="Times New Roman;Times;Serif"/>
            <w:b/>
            <w:caps w:val="false"/>
            <w:smallCaps w:val="false"/>
            <w:color w:val="000000"/>
            <w:sz w:val="16"/>
          </w:rPr>
          <w:t>TABLE OF CONTENTS</w:t>
        </w:r>
      </w:hyperlink>
    </w:p>
    <w:tbl>
      <w:tblPr>
        <w:tblW w:w="5635" w:type="dxa"/>
        <w:jc w:val="left"/>
        <w:tblInd w:w="0" w:type="dxa"/>
        <w:tblLayout w:type="fixed"/>
        <w:tblCellMar>
          <w:top w:w="0" w:type="dxa"/>
          <w:left w:w="0" w:type="dxa"/>
          <w:bottom w:w="0" w:type="dxa"/>
          <w:right w:w="0" w:type="dxa"/>
        </w:tblCellMar>
      </w:tblPr>
      <w:tblGrid>
        <w:gridCol w:w="110"/>
        <w:gridCol w:w="5525"/>
      </w:tblGrid>
      <w:tr>
        <w:trPr/>
        <w:tc>
          <w:tcPr>
            <w:tcW w:w="110" w:type="dxa"/>
            <w:tcBorders/>
            <w:vAlign w:val="center"/>
          </w:tcPr>
          <w:p>
            <w:pPr>
              <w:pStyle w:val="TableContents"/>
              <w:bidi w:val="0"/>
              <w:spacing w:before="0" w:after="0"/>
              <w:jc w:val="left"/>
              <w:rPr>
                <w:color w:val="000000"/>
              </w:rPr>
            </w:pPr>
            <w:r>
              <w:rPr>
                <w:color w:val="000000"/>
              </w:rPr>
              <w:t>•</w:t>
            </w:r>
          </w:p>
        </w:tc>
        <w:tc>
          <w:tcPr>
            <w:tcW w:w="55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rate of customer adoption of Physical AI and Edge AI solutions; </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level of research and development; </w:t>
            </w:r>
          </w:p>
        </w:tc>
      </w:tr>
    </w:tbl>
    <w:tbl>
      <w:tblPr>
        <w:tblW w:w="4135" w:type="dxa"/>
        <w:jc w:val="left"/>
        <w:tblInd w:w="0" w:type="dxa"/>
        <w:tblLayout w:type="fixed"/>
        <w:tblCellMar>
          <w:top w:w="0" w:type="dxa"/>
          <w:left w:w="0" w:type="dxa"/>
          <w:bottom w:w="0" w:type="dxa"/>
          <w:right w:w="0" w:type="dxa"/>
        </w:tblCellMar>
      </w:tblPr>
      <w:tblGrid>
        <w:gridCol w:w="110"/>
        <w:gridCol w:w="4025"/>
      </w:tblGrid>
      <w:tr>
        <w:trPr/>
        <w:tc>
          <w:tcPr>
            <w:tcW w:w="110" w:type="dxa"/>
            <w:tcBorders/>
            <w:vAlign w:val="center"/>
          </w:tcPr>
          <w:p>
            <w:pPr>
              <w:pStyle w:val="TableContents"/>
              <w:bidi w:val="0"/>
              <w:spacing w:before="0" w:after="0"/>
              <w:jc w:val="left"/>
              <w:rPr>
                <w:color w:val="000000"/>
              </w:rPr>
            </w:pPr>
            <w:r>
              <w:rPr>
                <w:color w:val="000000"/>
              </w:rPr>
              <w:t>•</w:t>
            </w:r>
          </w:p>
        </w:tc>
        <w:tc>
          <w:tcPr>
            <w:tcW w:w="40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selling, general and administrative expenditures; </w:t>
            </w:r>
          </w:p>
        </w:tc>
      </w:tr>
    </w:tbl>
    <w:tbl>
      <w:tblPr>
        <w:tblW w:w="5890" w:type="dxa"/>
        <w:jc w:val="left"/>
        <w:tblInd w:w="0" w:type="dxa"/>
        <w:tblLayout w:type="fixed"/>
        <w:tblCellMar>
          <w:top w:w="0" w:type="dxa"/>
          <w:left w:w="0" w:type="dxa"/>
          <w:bottom w:w="0" w:type="dxa"/>
          <w:right w:w="0" w:type="dxa"/>
        </w:tblCellMar>
      </w:tblPr>
      <w:tblGrid>
        <w:gridCol w:w="110"/>
        <w:gridCol w:w="5780"/>
      </w:tblGrid>
      <w:tr>
        <w:trPr/>
        <w:tc>
          <w:tcPr>
            <w:tcW w:w="110" w:type="dxa"/>
            <w:tcBorders/>
            <w:vAlign w:val="center"/>
          </w:tcPr>
          <w:p>
            <w:pPr>
              <w:pStyle w:val="TableContents"/>
              <w:bidi w:val="0"/>
              <w:spacing w:before="0" w:after="0"/>
              <w:jc w:val="left"/>
              <w:rPr>
                <w:color w:val="000000"/>
              </w:rPr>
            </w:pPr>
            <w:r>
              <w:rPr>
                <w:color w:val="000000"/>
              </w:rPr>
              <w:t>•</w:t>
            </w:r>
          </w:p>
        </w:tc>
        <w:tc>
          <w:tcPr>
            <w:tcW w:w="57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 expenditure requirements and other working capital needs;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assumptions related to semiconductor industry performance and general business, economic, market and financial conditions and additional matters specific to Synaptics’ business.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Important factors that may affect actual results and cause the Synaptics Management Projections to not be achieved include, but are not limited to, risks and uncertainties relating to Synaptics’ business (including its ability to achieve strategic goals, objectives and targets over applicable periods), semiconductor industry performance, the pace of adoption of Physical AI and Edge AI technologies, customer concentration, general business, economic, competitive, regulatory and financial market conditions and other factors described in the sections in this proxy statement titled “Cautionary Statement Regarding Forward-Looking Statements” beginning on page </w:t>
      </w:r>
      <w:hyperlink w:anchor="tFLS">
        <w:r>
          <w:rPr>
            <w:rStyle w:val="InternetLink"/>
            <w:rFonts w:ascii="Times New Roman;Times;serif" w:hAnsi="Times New Roman;Times;serif"/>
            <w:color w:val="000080"/>
            <w:sz w:val="20"/>
          </w:rPr>
          <w:t>22</w:t>
        </w:r>
      </w:hyperlink>
      <w:r>
        <w:rPr>
          <w:rFonts w:ascii="Times New Roman;Times;serif" w:hAnsi="Times New Roman;Times;serif"/>
          <w:color w:val="000000"/>
          <w:sz w:val="20"/>
        </w:rPr>
        <w:t xml:space="preserve">, as well as the risks described in the periodic public reports filed by Synaptics with the SEC, which reports can be found as described in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The Synaptics Management Projections also reflect numerous variables, expectations and assumptions available at the time they were prepared as to certain business decisions that are subject to change. As a result, actual results may differ materially from those contained in the Synaptics Management Projections, and there can be no assurance that the projected results summarized below will be realized. Synaptics stockholders are urged to review the most recent SEC filings of Synaptics for a description of Synaptics’ reported and anticipated results of operations and financial condition and capital resources, including in the sections titled “Management’s Discussion and Analysis of Financial Condition and Results of Operations” in Synaptics’ Annual Report on Form 10-K for the fiscal year ended June 27, 2026, filed with the SEC on August 10, 2026, and subsequent quarterly reports on Form 10-Q, which are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inclusion of a summary of the Synaptics Management Projections in this proxy statement should not be regarded as an indication that any of Synaptics, onsemi or their respective officers, directors, affiliates, advisors or other representatives considered the Synaptics Management Projections to necessarily be predictive of actual future events, and the Synaptics Management Projections should not be relied upon as such nor should the information contained in the Synaptics Management Projections be considered appropriate for other purposes. None of Synaptics, onsemi or their respective officers, directors, affiliates, advisors or other representatives can give you any assurance that actual results will not differ materially from the Synaptics Management Projections. None of Synaptics or onsemi undertakes any obligation to update or otherwise revise or reconcile the Synaptics Management Projections to reflect circumstances existing after the date the Synaptics Management Projections were generated or to reflect the occurrence of future events, even in the event that any or all of the assumptions underlying the Synaptics Management Projections are shown to be in error, other than as required by law. Since the projections cover multiple years, such information by its nature becomes less predictive with each successive year.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Certain of the measures included in the Synaptics Management Projections are non-GAAP financial measures, including non-GAAP Operating Income, Net Operating Profit After Taxes and Unlevered Free Cash Flow (each as defined below), as noted below. Synaptics’ management included such measures in the Synaptics Management Projections because it believed that such measures may be useful in evaluating, on a prospective basis, the potential operating performance and cash flow of Synaptics. In certain circumstances, including those applicable to the Synaptics Management Projections, financial measures included in forecasts provided to a financial advisor and a board of directors in connection with a business combination transaction are excluded from the definition of “non-GAAP financial measures” under applicable SEC rules and regulations. As a result, the financial measures included in the Synaptics Management Projections are not subject to SEC rules regarding disclosures of non-GAAP financial measures, which would otherwise require a reconciliation of a non-GAAP financial measure to a GAAP financial measure, and such reconciliations have not been provided in this proxy statement. Reconciliations of non-GAAP financial measures were not provided to or relied upon by the Synaptics board or Qatalyst Partners.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Non-GAAP financial measures should not be considered in isolation from, or as a substitute for or superior measure to, financial information presented in compliance with GAAP. Synaptics stockholders should also note that these non-GAAP financial measures presented in this proxy statement have no standardized meaning prescribed by GAAP, and therefore have limits in their usefulness. Because of the non-standardized definitions, Synaptics may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1" w:name="ny20081083x2_defm14a_113-merger_pg34"/>
        <w:bookmarkEnd w:id="11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calculate certain non-GAAP financial measures, including non-GAAP Operating Income, Net Operating Profit After Taxes and Unlevered Free Cash Flow, using methodologies that differ from those used by other companies. As a result, the non-GAAP financial measures included in the Synaptics Management Projections may not be comparable to similarly titled measures used by other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made and makes no representation to any Synaptics stockholder in the Merger Agreement or otherwise concerning the Synaptics Management Projections or regarding Synaptics’ ultimate performance compared to the information contained in the Synaptics Management Projections or that the projected results will be achieved. Synaptics urges all stockholders to review Synaptics’ most recent SEC filings for a description of Synaptics’ reported financial results. </w:t>
      </w:r>
    </w:p>
    <w:p>
      <w:pPr>
        <w:pStyle w:val="TextBody"/>
        <w:bidi w:val="0"/>
        <w:spacing w:before="35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Summary of Synaptics Management Projections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summary of the Synaptics Management Projections is presented in the following table, with all figures rounded to the nearest million. </w:t>
      </w:r>
    </w:p>
    <w:tbl>
      <w:tblPr>
        <w:tblW w:w="9395" w:type="dxa"/>
        <w:jc w:val="left"/>
        <w:tblInd w:w="0" w:type="dxa"/>
        <w:tblLayout w:type="fixed"/>
        <w:tblCellMar>
          <w:top w:w="0" w:type="dxa"/>
          <w:left w:w="0" w:type="dxa"/>
          <w:bottom w:w="0" w:type="dxa"/>
          <w:right w:w="0" w:type="dxa"/>
        </w:tblCellMar>
      </w:tblPr>
      <w:tblGrid>
        <w:gridCol w:w="2870"/>
        <w:gridCol w:w="140"/>
        <w:gridCol w:w="140"/>
        <w:gridCol w:w="965"/>
        <w:gridCol w:w="140"/>
        <w:gridCol w:w="140"/>
        <w:gridCol w:w="590"/>
        <w:gridCol w:w="140"/>
        <w:gridCol w:w="140"/>
        <w:gridCol w:w="590"/>
        <w:gridCol w:w="140"/>
        <w:gridCol w:w="140"/>
        <w:gridCol w:w="590"/>
        <w:gridCol w:w="140"/>
        <w:gridCol w:w="140"/>
        <w:gridCol w:w="590"/>
        <w:gridCol w:w="140"/>
        <w:gridCol w:w="140"/>
        <w:gridCol w:w="590"/>
        <w:gridCol w:w="140"/>
        <w:gridCol w:w="140"/>
        <w:gridCol w:w="650"/>
      </w:tblGrid>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0"/>
              <w:jc w:val="left"/>
              <w:rPr/>
            </w:pPr>
            <w:r>
              <w:rPr/>
              <w:t>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Fiscal Year </w:t>
            </w:r>
          </w:p>
          <w:p>
            <w:pPr>
              <w:pStyle w:val="TableContents"/>
              <w:bidi w:val="0"/>
              <w:spacing w:before="0" w:after="283"/>
              <w:jc w:val="center"/>
              <w:rPr>
                <w:rFonts w:ascii="Times New Roman;Times;serif" w:hAnsi="Times New Roman;Times;serif"/>
                <w:b w:val="false"/>
                <w:color w:val="000000"/>
                <w:sz w:val="16"/>
              </w:rPr>
            </w:pPr>
            <w:r>
              <w:rPr>
                <w:rFonts w:ascii="Times New Roman;Times;serif" w:hAnsi="Times New Roman;Times;serif"/>
                <w:b w:val="false"/>
                <w:color w:val="000000"/>
                <w:sz w:val="16"/>
              </w:rPr>
              <w:t xml:space="preserve">(Ending Last Saturday of June)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33" w:type="dxa"/>
            </w:tcMar>
            <w:vAlign w:val="center"/>
          </w:tcPr>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4Q 2026E(1)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2027E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2028E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2029E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2030E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2031E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bottom w:val="single" w:sz="8" w:space="0" w:color="000000"/>
            </w:tcBorders>
            <w:tcMar>
              <w:bottom w:w="33"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2032E </w:t>
            </w:r>
          </w:p>
        </w:tc>
      </w:tr>
      <w:tr>
        <w:trPr/>
        <w:tc>
          <w:tcPr>
            <w:tcW w:w="287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245" w:type="dxa"/>
            <w:gridSpan w:val="19"/>
            <w:tcBorders/>
            <w:vAlign w:val="center"/>
          </w:tcPr>
          <w:p>
            <w:pPr>
              <w:pStyle w:val="TableContents"/>
              <w:bidi w:val="0"/>
              <w:spacing w:before="0" w:after="283"/>
              <w:jc w:val="center"/>
              <w:rPr>
                <w:rFonts w:ascii="Times New Roman;Times;serif" w:hAnsi="Times New Roman;Times;serif"/>
                <w:i/>
                <w:color w:val="000000"/>
                <w:sz w:val="16"/>
              </w:rPr>
            </w:pPr>
            <w:r>
              <w:rPr>
                <w:rFonts w:ascii="Times New Roman;Times;serif" w:hAnsi="Times New Roman;Times;serif"/>
                <w:i/>
                <w:color w:val="000000"/>
                <w:sz w:val="16"/>
              </w:rPr>
              <w:t>(in millions)</w:t>
            </w:r>
            <w:r>
              <w:rPr>
                <w:rFonts w:ascii="Times New Roman;Times;serif" w:hAnsi="Times New Roman;Times;serif"/>
                <w:i/>
                <w:caps w:val="false"/>
                <w:smallCaps w:val="false"/>
                <w:color w:val="000000"/>
                <w:sz w:val="16"/>
              </w:rPr>
              <w:t xml:space="preserve"> </w:t>
            </w:r>
          </w:p>
        </w:tc>
      </w:tr>
      <w:tr>
        <w:trPr/>
        <w:tc>
          <w:tcPr>
            <w:tcW w:w="28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Revenue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$1,340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$1,839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$2,441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$2,563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Non-GAAP Operating Income(2)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$266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$329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$461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$582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$641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$673 </w:t>
            </w:r>
          </w:p>
        </w:tc>
      </w:tr>
      <w:tr>
        <w:trPr/>
        <w:tc>
          <w:tcPr>
            <w:tcW w:w="2870"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 Operating Profit After Taxes(3)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$392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59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$525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5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$538 </w:t>
            </w:r>
          </w:p>
        </w:tc>
      </w:tr>
      <w:tr>
        <w:trPr/>
        <w:tc>
          <w:tcPr>
            <w:tcW w:w="2870"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Unlevered Free Cash Flow(4)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$504</w:t>
            </w:r>
          </w:p>
        </w:tc>
      </w:tr>
      <w:tr>
        <w:trPr/>
        <w:tc>
          <w:tcPr>
            <w:tcW w:w="28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5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2"/>
        <w:gridCol w:w="10023"/>
      </w:tblGrid>
      <w:tr>
        <w:trPr/>
        <w:tc>
          <w:tcPr>
            <w:tcW w:w="18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4Q FY2026E amounts reflect estimates as of April 14, 2026, and have not been updated to reflect subsequent actual results. In addition, with respect to FY2026E, certain projections were prepared for the entire fiscal year based on information available as of April 14, 2026, including Revenue of $1,199 million and non-GAAP Operating Income of $214 million, which amounts reflected (i) actual results for the first two quarters of FY2026, (ii) preliminary results for the third quarter of FY2026 and (iii) projected results for the fourth quarter of FY2026, and which amounts have not been updated to reflect subsequent actual results. </w:t>
            </w:r>
          </w:p>
        </w:tc>
      </w:tr>
    </w:tbl>
    <w:tbl>
      <w:tblPr>
        <w:tblW w:w="10205" w:type="dxa"/>
        <w:jc w:val="left"/>
        <w:tblInd w:w="0" w:type="dxa"/>
        <w:tblLayout w:type="fixed"/>
        <w:tblCellMar>
          <w:top w:w="0" w:type="dxa"/>
          <w:left w:w="0" w:type="dxa"/>
          <w:bottom w:w="0" w:type="dxa"/>
          <w:right w:w="0" w:type="dxa"/>
        </w:tblCellMar>
      </w:tblPr>
      <w:tblGrid>
        <w:gridCol w:w="208"/>
        <w:gridCol w:w="9997"/>
      </w:tblGrid>
      <w:tr>
        <w:trPr/>
        <w:tc>
          <w:tcPr>
            <w:tcW w:w="20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999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Non-GAAP Operating Income, a non-GAAP financial measure, refers to operating income adjusted to exclude stock-based compensation, amortization of intangibles, and certain other non-cash or non-recurring items. </w:t>
            </w:r>
          </w:p>
        </w:tc>
      </w:tr>
    </w:tbl>
    <w:tbl>
      <w:tblPr>
        <w:tblW w:w="9355" w:type="dxa"/>
        <w:jc w:val="left"/>
        <w:tblInd w:w="0" w:type="dxa"/>
        <w:tblLayout w:type="fixed"/>
        <w:tblCellMar>
          <w:top w:w="0" w:type="dxa"/>
          <w:left w:w="0" w:type="dxa"/>
          <w:bottom w:w="0" w:type="dxa"/>
          <w:right w:w="0" w:type="dxa"/>
        </w:tblCellMar>
      </w:tblPr>
      <w:tblGrid>
        <w:gridCol w:w="230"/>
        <w:gridCol w:w="9125"/>
      </w:tblGrid>
      <w:tr>
        <w:trPr/>
        <w:tc>
          <w:tcPr>
            <w:tcW w:w="23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912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Net Operating Profit After Taxes, a non-GAAP financial measure, refers to non-GAAP Operating Income less estimated cash taxes. </w:t>
            </w:r>
          </w:p>
        </w:tc>
      </w:tr>
    </w:tbl>
    <w:tbl>
      <w:tblPr>
        <w:tblW w:w="10205" w:type="dxa"/>
        <w:jc w:val="left"/>
        <w:tblInd w:w="0" w:type="dxa"/>
        <w:tblLayout w:type="fixed"/>
        <w:tblCellMar>
          <w:top w:w="0" w:type="dxa"/>
          <w:left w:w="0" w:type="dxa"/>
          <w:bottom w:w="0" w:type="dxa"/>
          <w:right w:w="0" w:type="dxa"/>
        </w:tblCellMar>
      </w:tblPr>
      <w:tblGrid>
        <w:gridCol w:w="212"/>
        <w:gridCol w:w="9993"/>
      </w:tblGrid>
      <w:tr>
        <w:trPr/>
        <w:tc>
          <w:tcPr>
            <w:tcW w:w="212"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9993"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Unlevered Free Cash Flow, a non-GAAP financial measure, refers to Net Operating Profit After Taxes, adjusted for capital expenditures, depreciation, and changes in working capital and other items. </w:t>
            </w:r>
          </w:p>
        </w:tc>
      </w:tr>
    </w:tbl>
    <w:p>
      <w:pPr>
        <w:pStyle w:val="TextBody"/>
        <w:bidi w:val="0"/>
        <w:spacing w:before="330" w:after="283"/>
        <w:ind w:left="0" w:right="0" w:hanging="0"/>
        <w:jc w:val="left"/>
        <w:rPr>
          <w:rFonts w:ascii="Times New Roman;Times;serif" w:hAnsi="Times New Roman;Times;serif"/>
          <w:b/>
          <w:i/>
          <w:color w:val="000000"/>
          <w:sz w:val="20"/>
        </w:rPr>
      </w:pPr>
      <w:bookmarkStart w:id="112" w:name="tOOQP"/>
      <w:bookmarkEnd w:id="112"/>
      <w:r>
        <w:rPr>
          <w:rFonts w:ascii="Times New Roman;Times;serif" w:hAnsi="Times New Roman;Times;serif"/>
          <w:b/>
          <w:i/>
          <w:color w:val="000000"/>
          <w:sz w:val="20"/>
        </w:rPr>
        <w:t xml:space="preserve">Opinion of Qatalyst Partners LP, Synaptics’ Financial Advisor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retained Qatalyst Partners to act as its financial advisor in connection with a potential transaction such as the Merger and to evaluate whether the Merger Consideration to be received pursuant to, and in accordance with, the terms of the Merger Agreement by Synaptics stockholders (other than onsemi or any affiliate of onsemi), was fair, from a financial point of view, to such holders. Synaptics selected Qatalyst Partners to act as financial advisor to Synaptics based on Qatalyst Partners’ qualifications, expertise, reputation and knowledge of the business and affairs of Synaptics and the industry in which it operates. Qatalyst Partners has provided its written consent to the reproduction of its opinion in this proxy statement. At the meeting of the Synaptics board on September 29, 2026, Qatalyst Partners rendered to the Synaptics board its oral opinion, which was confirmed by delivery of a written opinion dated September 29, 2026, to the effect that, based upon and subject to the various assumptions, qualifications, limitations and other matters set forth therein, as of the date thereof, the Merger Consideration to be received by Synaptics stockholders (other than onsemi or any affiliate of onsemi) pursuant to, and in accordance with, the terms of the Merger Agreement, was fair, from a financial point of view, to such holders.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full text of Qatalyst Partners’ written opinion, dated September 29, 2026, is attached to this proxy statement as Annex B and is incorporated by reference herein. The opinion sets forth, among other things, the assumptions made, procedures followed, matters considered and limitations and qualifications of the review undertaken by Qatalyst Partners in rendering its opinion. Holders of shares of Synaptics common stock should read the opinion carefully in its entirety. Qatalyst Partners’ opinion was provided to the Synaptics board and addresses only, as of the date of the opinion, the fairness, from a financial point of view, of the Merger Consideration to be received by Synaptics stockholders (other than onsemi or any affiliate of onsemi) pursuant to, and in accordance with, the terms of the Merger Agreement, and it does not address any other aspect of the Merger. Qatalyst Partners’ opinion does not constitute a recommendation as to how Synaptics stockholders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3" w:name="ny20081083x2_defm14a_113-merger_pg35"/>
        <w:bookmarkEnd w:id="11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b/>
          <w:color w:val="000000"/>
          <w:sz w:val="20"/>
        </w:rPr>
      </w:pPr>
      <w:r>
        <w:rPr>
          <w:rFonts w:ascii="Times New Roman;Times;serif" w:hAnsi="Times New Roman;Times;serif"/>
          <w:b/>
          <w:color w:val="000000"/>
          <w:sz w:val="20"/>
        </w:rPr>
        <w:t xml:space="preserve">should vote with respect to the Merger or any other matter and does not in any manner address the price at which shares of Synaptics common stock will trade or otherwise be transferable at any time. The summary of Qatalyst Partners’ opinion set forth herein is qualified in its entirety by reference to the full text of the opinion, which is attached to this proxy statement as Annex B. </w:t>
      </w:r>
    </w:p>
    <w:p>
      <w:pPr>
        <w:pStyle w:val="TextBody"/>
        <w:bidi w:val="0"/>
        <w:spacing w:before="120" w:after="283"/>
        <w:ind w:left="0" w:right="0" w:firstLine="400"/>
        <w:jc w:val="both"/>
        <w:rPr/>
      </w:pPr>
      <w:r>
        <w:rPr>
          <w:rFonts w:ascii="Times New Roman;Times;serif" w:hAnsi="Times New Roman;Times;serif"/>
          <w:color w:val="000000"/>
          <w:sz w:val="20"/>
        </w:rPr>
        <w:t>In arriving at its opinion, Qatalyst Partners reviewed a draft of the Merger Agreement dated September 29, 2026, certain related documents and certain publicly available financial statements of Synaptics and other business and financial information of Synaptics. Qatalyst Partners also reviewed certain forward-looking information relating to Synaptics prepared by Synaptics’ management, including financial projections and operating data of Synaptics, which projections are summarized as the Synaptics Management Projections in the section titled “</w:t>
      </w:r>
      <w:r>
        <w:rPr>
          <w:rFonts w:ascii="Times New Roman;Times;serif" w:hAnsi="Times New Roman;Times;serif"/>
          <w:i/>
          <w:color w:val="000000"/>
          <w:sz w:val="20"/>
        </w:rPr>
        <w:t>The Merger—Certain Unaudited Prospective Financial Information</w:t>
      </w:r>
      <w:r>
        <w:rPr>
          <w:rFonts w:ascii="Times New Roman;Times;serif" w:hAnsi="Times New Roman;Times;serif"/>
          <w:color w:val="000000"/>
          <w:sz w:val="20"/>
        </w:rPr>
        <w:t xml:space="preserve">” beginning on page </w:t>
      </w:r>
      <w:hyperlink w:anchor="tCUPF">
        <w:r>
          <w:rPr>
            <w:rStyle w:val="InternetLink"/>
            <w:rFonts w:ascii="Times New Roman;Times;serif" w:hAnsi="Times New Roman;Times;serif"/>
            <w:color w:val="000080"/>
            <w:sz w:val="20"/>
          </w:rPr>
          <w:t>61</w:t>
        </w:r>
      </w:hyperlink>
      <w:r>
        <w:rPr>
          <w:rFonts w:ascii="Times New Roman;Times;serif" w:hAnsi="Times New Roman;Times;serif"/>
          <w:color w:val="000000"/>
          <w:sz w:val="20"/>
        </w:rPr>
        <w:t xml:space="preserve"> of this proxy statement. Additionally, Qatalyst Partners discussed the past and current operations and financial condition and the prospects of Synaptics with senior management of Synaptics. Qatalyst Partners also reviewed the historical market prices and trading activity for Synaptics common stock and compared the financial performance of Synaptics and the prices and trading activity of Synaptics common stock with that of certain other selected publicly-traded companies and their securities. In addition, Qatalyst Partners reviewed the financial terms, to the extent publicly available, of selected acquisition transactions, participated in certain discussions and negotiations among representatives of Synaptics, onsemi and their respective financial and legal advisors, and performed such other analyses, reviewed such other information and considered such other factors as Qatalyst Partners deemed appropriate in its professional judgment and experience.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its opinion, Qatalyst Partners assumed and relied upon, without independent verification, the accuracy and completeness of the information that was publicly available or supplied or otherwise made available to, or discussed with, Qatalyst Partners by Synaptics. With respect to the Synaptics Management Projections, Qatalyst Partners was advised by Synaptics’ management, and Qatalyst Partners assumed based on discussions with the Synaptics board and Synaptics’ management, that the Synaptics Management Projections had been reasonably prepared on bases reflecting the best currently available estimates and judgments of Synaptics’ management of the future financial performance of Synaptics and other matters covered thereby. Qatalyst Partners expressed no view as to the Synaptics Management Projections or the assumptions on which they were based. Qatalyst Partners assumed that the terms of the draft Merger Agreement reviewed by Qatalyst Partners would not differ materially from the final executed Merger Agreement, and that the Merger will be consummated in accordance with the terms set forth in the Merger Agreement, without any modification, waiver or delay. In addition, Qatalyst Partners assumed that in connection with the receipt of all the necessary approvals of the Merger, no delays, limitations, conditions or restrictions will be imposed that could have an adverse effect on Synaptics or the contemplated benefits expected to be derived in the proposed Merger. Qatalyst Partners relied upon, without independent verification, the assessment of Synaptics and its legal, tax or regulatory advisors with respect to legal, tax or regulatory matters. Qatalyst Partners did not make any independent evaluation or appraisal of the assets or liabilities (contingent or otherwise) of Synaptics or its affiliates, nor was Qatalyst Partners furnished with any such evaluation or appraisal. In addition, Qatalyst Partners relied, without independent verification, upon the assessment of Synaptics’ management as to the existing and future technology and products of Synaptics and the risks associated with such technology and products. Qatalyst Partners’ opinion was approved by its opinion committee in accordance with its customary practice.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was necessarily based on financial, economic, market and other conditions as in effect on, and the information made available to it as of, the date of the opinion. Events occurring after the date of the opinion may affect Qatalyst Partners’ opinion and the assumptions used in preparing it, and Qatalyst Partners has not assumed any obligation to update, revise or reaffirm its opinion. Qatalyst Partners’ opinion does not address the underlying business decision of Synaptics to engage in the Merger, or the relative merits of the Merger as compared to any strategic alternatives that may be available to Synaptics. Qatalyst Partners was not asked to, nor did Qatalyst Partners express any view on, and its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Qatalyst Partners’ opinion is limited to the fairness, from a financial point of view, of the Merger Consideration to be received by holders of shares of Synaptics common stock (other than onsemi or any affiliate of onsemi) pursuant to, and in accordance with, the terms of the Merger Agreement, and Qatalyst Partners expressed no opinion with respect to the fairness of the amount or nature of the compensation to any of the officers, directors or employees of Synaptics or any of its affiliates, or any class of such persons, relative to such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4" w:name="ny20081083x2_defm14a_113-merger_pg36"/>
        <w:bookmarkEnd w:id="11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The following is a brief summary of the material analyses performed by Qatalyst Partners in connection with its opinion dated September 29, 2026. The analyses and factors described below must be considered as a whole; considering any portion of such analyses or factors, without considering all analyses and factors, could create a misleading or incomplete view of the process underlying Qatalyst Partners’ opinion. For purposes of its analyses, Qatalyst Partners utilized, among other things, the Synaptics Management Projections, described in the section of this proxy statement titled “</w:t>
      </w:r>
      <w:r>
        <w:rPr>
          <w:rFonts w:ascii="Times New Roman;Times;serif" w:hAnsi="Times New Roman;Times;serif"/>
          <w:i/>
          <w:color w:val="000000"/>
          <w:sz w:val="20"/>
        </w:rPr>
        <w:t>The Merger—Certain Unaudited Prospective Financial Information</w:t>
      </w:r>
      <w:r>
        <w:rPr>
          <w:rFonts w:ascii="Times New Roman;Times;serif" w:hAnsi="Times New Roman;Times;serif"/>
          <w:color w:val="000000"/>
          <w:sz w:val="20"/>
        </w:rPr>
        <w:t xml:space="preserve">” beginning on page </w:t>
      </w:r>
      <w:hyperlink w:anchor="tCUPF">
        <w:r>
          <w:rPr>
            <w:rStyle w:val="InternetLink"/>
            <w:rFonts w:ascii="Times New Roman;Times;serif" w:hAnsi="Times New Roman;Times;serif"/>
            <w:color w:val="000080"/>
            <w:sz w:val="20"/>
          </w:rPr>
          <w:t>61</w:t>
        </w:r>
      </w:hyperlink>
      <w:r>
        <w:rPr>
          <w:rFonts w:ascii="Times New Roman;Times;serif" w:hAnsi="Times New Roman;Times;serif"/>
          <w:color w:val="000000"/>
          <w:sz w:val="20"/>
        </w:rPr>
        <w:t xml:space="preserve"> of this proxy statement, and third-party research analyst consensus estimates as of September 29, 2026 (the “Analyst Estimates”). Some of the summaries of the financial analyses include information presented in tabular format. The tables are not intended to stand alone, and in order to more fully understand the financial analyses used by Qatalyst Partners, the tables must be read together with the full text of each summary. Considering the data set forth below without considering the full narrative description of the financial analyses, including the methodologies and assumptions underlying the analyses, could create a misleading or incomplete view of Qatalyst Partners’ financial analyses.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Discounted Cash Flow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performed an illustrative discounted cash flow analysis, which is designed to imply a range of potential per-share present values for Synaptics common stock as of June 30, 2026, using mid-period convention, by: </w:t>
      </w:r>
    </w:p>
    <w:tbl>
      <w:tblPr>
        <w:tblW w:w="805" w:type="dxa"/>
        <w:jc w:val="left"/>
        <w:tblInd w:w="0" w:type="dxa"/>
        <w:tblLayout w:type="fixed"/>
        <w:tblCellMar>
          <w:top w:w="0" w:type="dxa"/>
          <w:left w:w="0" w:type="dxa"/>
          <w:bottom w:w="0" w:type="dxa"/>
          <w:right w:w="0" w:type="dxa"/>
        </w:tblCellMar>
      </w:tblPr>
      <w:tblGrid>
        <w:gridCol w:w="110"/>
        <w:gridCol w:w="695"/>
      </w:tblGrid>
      <w:tr>
        <w:trPr/>
        <w:tc>
          <w:tcPr>
            <w:tcW w:w="110" w:type="dxa"/>
            <w:tcBorders/>
            <w:vAlign w:val="center"/>
          </w:tcPr>
          <w:p>
            <w:pPr>
              <w:pStyle w:val="TableContents"/>
              <w:bidi w:val="0"/>
              <w:spacing w:before="0" w:after="0"/>
              <w:jc w:val="left"/>
              <w:rPr>
                <w:color w:val="000000"/>
              </w:rPr>
            </w:pPr>
            <w:r>
              <w:rPr>
                <w:color w:val="000000"/>
              </w:rPr>
              <w:t>•</w:t>
            </w:r>
          </w:p>
        </w:tc>
        <w:tc>
          <w:tcPr>
            <w:tcW w:w="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adding: </w:t>
            </w:r>
          </w:p>
        </w:tc>
      </w:tr>
    </w:tbl>
    <w:tbl>
      <w:tblPr>
        <w:tblW w:w="10205" w:type="dxa"/>
        <w:jc w:val="left"/>
        <w:tblInd w:w="0" w:type="dxa"/>
        <w:tblLayout w:type="fixed"/>
        <w:tblCellMar>
          <w:top w:w="0" w:type="dxa"/>
          <w:left w:w="0" w:type="dxa"/>
          <w:bottom w:w="0" w:type="dxa"/>
          <w:right w:w="0" w:type="dxa"/>
        </w:tblCellMar>
      </w:tblPr>
      <w:tblGrid>
        <w:gridCol w:w="188"/>
        <w:gridCol w:w="10017"/>
      </w:tblGrid>
      <w:tr>
        <w:trPr/>
        <w:tc>
          <w:tcPr>
            <w:tcW w:w="18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(a)</w:t>
            </w:r>
          </w:p>
        </w:tc>
        <w:tc>
          <w:tcPr>
            <w:tcW w:w="1001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the estimated future unlevered free cash flows (“UFCFs”) of Synaptics based on the Synaptics Management Projections for fiscal year 2027 through fiscal year 2031 (which implied present value was calculated using a range of discount rates of 15.5% to 19.0%, based on an estimated weighted average cost of capital for Synaptics); </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w:t>
            </w:r>
          </w:p>
        </w:tc>
        <w:tc>
          <w:tcPr>
            <w:tcW w:w="10007"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implied net present value of a terminal value of Synaptics, calculated by multiplying Synaptics’ estimated net operating profit after taxes (“NOPAT”) in fiscal year 2032, based on the Synaptics Management Projections, by a range of next-twelve-months’ estimated NOPAT multiples of 14.0x to 24.0x (which were chosen based on Qatalyst Partners’ professional judgment and experience), and discounted to present value using the same range of discount rates used in clause (a) above; and </w:t>
            </w:r>
          </w:p>
        </w:tc>
      </w:tr>
    </w:tbl>
    <w:tbl>
      <w:tblPr>
        <w:tblW w:w="10205" w:type="dxa"/>
        <w:jc w:val="left"/>
        <w:tblInd w:w="0" w:type="dxa"/>
        <w:tblLayout w:type="fixed"/>
        <w:tblCellMar>
          <w:top w:w="0" w:type="dxa"/>
          <w:left w:w="0" w:type="dxa"/>
          <w:bottom w:w="0" w:type="dxa"/>
          <w:right w:w="0" w:type="dxa"/>
        </w:tblCellMar>
      </w:tblPr>
      <w:tblGrid>
        <w:gridCol w:w="221"/>
        <w:gridCol w:w="9984"/>
      </w:tblGrid>
      <w:tr>
        <w:trPr/>
        <w:tc>
          <w:tcPr>
            <w:tcW w:w="221"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w:t>
            </w:r>
          </w:p>
        </w:tc>
        <w:tc>
          <w:tcPr>
            <w:tcW w:w="9984"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cash of Synaptics as of June 27, 2026, as disclosed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subtracting from the resulting amount the face value of Synaptics’ outstanding debt as of June 27, 2026, as disclosed in Synaptics’ Annual Report on Form 10-K for the fiscal year ended June 27, 2026;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dividing the resulting amount by the number of fully diluted shares of Synaptics common stock outstanding, including Synaptics’ RSUs, PSUs, MSUs (assuming target level attainment), and shares underlying in-the-money convertible debt calculated using the net share settlement method and excluding any make-whole shares, settlement of capped call options or other change of control adjustments, as of September 25, 2026, all as provided by Synaptics’ management.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Each of the above-referenced estimated future UFCFs and terminal value were adjusted for the degree of estimated dilution to current stockholders through each respective applicable period (approximately 18% cumulative dilution through the projection period) due to the estimated net effects of equity issuances and cancellations related to future equity compensation, based on estimates of future dilution provided by the management of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the calculations set forth above, this analysis implied a range of values for Synaptics common stock of approximately $77 to $140 per share.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Companies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reviewed and compared selected financial information and public market multiples for Synaptics with publicly available financial information and public market multiples for selected companies. The companies used in this comparison were those companies listed below, which were selected by Qatalyst Partners in its professional judgment, based on factors including that they are publicly traded companies in similar lines of business to Synaptics, have a similar business model, have similar financial performance or have other relevant or similar characteristics.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5" w:name="ny20081083x2_defm14a_113-merger_pg37"/>
        <w:bookmarkEnd w:id="11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upon third-party research analyst consensus estimates as of September 29, 2026, and using the closing prices as of September 29, 2026, for shares of the selected companies, Qatalyst Partners calculated, among other things, (a) the ratio of fully diluted enterprise value to estimated revenue for calendar year 2027 (which are referred to as the “CY2027E Revenue Multiples”) and (b) the ratio of price to estimated non-GAAP earnings per share (excluding stock-based compensation expense, amortization of intangibles and other non-cash items) for calendar year 2027 (which are referred to as the “CY2027E P/E Multiples”), for each of the selected companies, as shown below: </w:t>
      </w:r>
    </w:p>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Consumer Concentrated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Cirrus Logic,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13.9x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350" w:type="dxa"/>
        <w:jc w:val="left"/>
        <w:tblInd w:w="0" w:type="dxa"/>
        <w:tblLayout w:type="fixed"/>
        <w:tblCellMar>
          <w:top w:w="0" w:type="dxa"/>
          <w:left w:w="0" w:type="dxa"/>
          <w:bottom w:w="0" w:type="dxa"/>
          <w:right w:w="0" w:type="dxa"/>
        </w:tblCellMar>
      </w:tblPr>
      <w:tblGrid>
        <w:gridCol w:w="3275"/>
        <w:gridCol w:w="140"/>
        <w:gridCol w:w="140"/>
        <w:gridCol w:w="1430"/>
        <w:gridCol w:w="140"/>
        <w:gridCol w:w="140"/>
        <w:gridCol w:w="1085"/>
      </w:tblGrid>
      <w:tr>
        <w:trPr/>
        <w:tc>
          <w:tcPr>
            <w:tcW w:w="327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27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Broad-Market and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18.0x</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13.1x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15.7x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20.0x</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12.1x </w:t>
            </w:r>
          </w:p>
        </w:tc>
      </w:tr>
      <w:tr>
        <w:trPr/>
        <w:tc>
          <w:tcPr>
            <w:tcW w:w="327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Melexis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16.3x </w:t>
            </w:r>
          </w:p>
        </w:tc>
      </w:tr>
      <w:tr>
        <w:trPr/>
        <w:tc>
          <w:tcPr>
            <w:tcW w:w="327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STMicroelectronics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17.6x</w:t>
            </w:r>
          </w:p>
        </w:tc>
      </w:tr>
      <w:tr>
        <w:trPr/>
        <w:tc>
          <w:tcPr>
            <w:tcW w:w="327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0"/>
              <w:jc w:val="left"/>
              <w:rPr/>
            </w:pPr>
            <w:r>
              <w:rPr/>
              <w:t> </w:t>
            </w:r>
          </w:p>
        </w:tc>
      </w:tr>
    </w:tbl>
    <w:tbl>
      <w:tblPr>
        <w:tblW w:w="6665" w:type="dxa"/>
        <w:jc w:val="left"/>
        <w:tblInd w:w="0" w:type="dxa"/>
        <w:tblLayout w:type="fixed"/>
        <w:tblCellMar>
          <w:top w:w="0" w:type="dxa"/>
          <w:left w:w="0" w:type="dxa"/>
          <w:bottom w:w="0" w:type="dxa"/>
          <w:right w:w="0" w:type="dxa"/>
        </w:tblCellMar>
      </w:tblPr>
      <w:tblGrid>
        <w:gridCol w:w="3590"/>
        <w:gridCol w:w="140"/>
        <w:gridCol w:w="140"/>
        <w:gridCol w:w="1430"/>
        <w:gridCol w:w="140"/>
        <w:gridCol w:w="140"/>
        <w:gridCol w:w="1085"/>
      </w:tblGrid>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r>
        <w:trPr/>
        <w:tc>
          <w:tcPr>
            <w:tcW w:w="3590"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Selected Mid-Cap High-Growth Edge Companies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CY2027E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Lattice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14.9x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39.1x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Monolithic Power 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38.8x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Impinj,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12.1x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62.9x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30.9x</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33.9x</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Ambiq Micro,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color w:val="000000"/>
              </w:rPr>
            </w:pPr>
            <w:r>
              <w:rPr>
                <w:color w:val="000000"/>
              </w:rPr>
              <w:t>—</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Ambarella,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Allegro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26.5x </w:t>
            </w:r>
          </w:p>
        </w:tc>
      </w:tr>
      <w:tr>
        <w:trPr/>
        <w:tc>
          <w:tcPr>
            <w:tcW w:w="359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Power Integrations,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3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27.4x </w:t>
            </w:r>
          </w:p>
        </w:tc>
      </w:tr>
      <w:tr>
        <w:trPr/>
        <w:tc>
          <w:tcPr>
            <w:tcW w:w="359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Nordic Semiconductor ASA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27.1x</w:t>
            </w:r>
          </w:p>
        </w:tc>
      </w:tr>
      <w:tr>
        <w:trPr/>
        <w:tc>
          <w:tcPr>
            <w:tcW w:w="359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Revenue Multiples for the selected companies and the application of its professional judgment, Qatalyst Partners selected a representative multiple range of 2.5x to 4.5x. Qatalyst Partners then applied this range to Synaptics’ estimated revenue for calendar year 2027, based on each of the Synaptics Management Projections and the Analyst Estimates. Qatalyst Partners then added Synaptics’ cash and subtracted the face value of Synaptics’ outstanding debt, in each case as of June 27, 2026 and as disclosed in Synaptics’ Annual Report on Form 10-K for the fiscal year then ended, and divided the resulting implied equity values by the number of fully diluted shares of Synaptics common stock outstanding as of September 25, 2026 (calculated utilizing the same methodology as used in the above discounted cash flow analysis), as provided by Synaptics’ management. This analysis implied (a) a range of values for Synaptics common stock of approximately $74 to $141 per share based on the Synaptics Management Projections, and (b) a range of values for Synaptics common stock of approximately $71 to $135 per share based on the Analyst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CY2027E P/E Multiples for the selected companies and the application of its professional judgment, Qatalyst Partners selected a representative multiple range of 12.0x to 25.0x. Qatalyst Partners then applied this range to Synaptics’ estimated non-GAAP earnings per share (excluding stock-based compensation expense, amortization of intangibles and other non-cash items) for calendar year 2027, based on each of the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6" w:name="ny20081083x2_defm14a_113-merger_pg38"/>
        <w:bookmarkEnd w:id="11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Management Projections and the Analyst Estimates. This analysis implied (a) a range of values for Synaptics common stock of approximately $77 to $161 per share based on the Synaptics Management Projections, and (b) a range of values for Synaptics common stock of approximately $71 to $148 per share based on the Analyst Estimates.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included in the selected companies analysis is identical to Synaptics. In evaluating the selected companies, Qatalyst Partners made judgments and assumptions with regard to industry performance, general business, economic, market and financial conditions and other matters. Many of these matters are beyond the control of Synaptics, such as the impact of competition on Synaptics’ business or the industry in general, industry growth and the absence of any material adverse change in Synaptics’ financial condition and prospects or the industry or in the financial markets in general. Individual multiples or mathematical analyses, such as determining the arithmetic mean, median, or the high or low, are not in themselves meaningful methods of using selected company data.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Selected Transactions Analysis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compared 38 selected public-company transactions, including transactions involving companies participating in similar lines of business to Synaptics or with similar business models, similar financial performance or other relevant or similar characteristics.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each of the selected transactions listed below, Qatalyst Partners reviewed, among other things, (a) the implied fully diluted enterprise value of the target company as a multiple of third-party research analyst consensus estimates of the next-twelve-months’ revenue of the target company (which are referred to as the “NTM Revenue Multiples”) and (b) the price per share paid for the target company as a multiple of third-party research analyst consensus estimates of the next-twelve-months’ non-GAAP earnings per share (excluding stock-based compensation expense, amortization of intangibles and other non-cash items) of the target company (which are referred to as the “NTM P/E Multiples”). </w:t>
      </w:r>
    </w:p>
    <w:tbl>
      <w:tblPr>
        <w:tblW w:w="10205" w:type="dxa"/>
        <w:jc w:val="left"/>
        <w:tblInd w:w="0" w:type="dxa"/>
        <w:tblLayout w:type="fixed"/>
        <w:tblCellMar>
          <w:top w:w="0" w:type="dxa"/>
          <w:left w:w="0" w:type="dxa"/>
          <w:bottom w:w="0" w:type="dxa"/>
          <w:right w:w="0" w:type="dxa"/>
        </w:tblCellMar>
      </w:tblPr>
      <w:tblGrid>
        <w:gridCol w:w="1472"/>
        <w:gridCol w:w="140"/>
        <w:gridCol w:w="140"/>
        <w:gridCol w:w="3341"/>
        <w:gridCol w:w="140"/>
        <w:gridCol w:w="140"/>
        <w:gridCol w:w="2849"/>
        <w:gridCol w:w="140"/>
        <w:gridCol w:w="140"/>
        <w:gridCol w:w="676"/>
        <w:gridCol w:w="140"/>
        <w:gridCol w:w="140"/>
        <w:gridCol w:w="747"/>
      </w:tblGrid>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left"/>
              <w:rPr/>
            </w:pPr>
            <w:r>
              <w:rPr/>
              <w:t> </w:t>
            </w:r>
          </w:p>
        </w:tc>
      </w:tr>
      <w:tr>
        <w:trPr/>
        <w:tc>
          <w:tcPr>
            <w:tcW w:w="1472"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02/04/26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Laboratories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color w:val="000000"/>
              </w:rPr>
            </w:pPr>
            <w:r>
              <w:rPr>
                <w:color w:val="000000"/>
              </w:rPr>
              <w:t xml:space="preserve">—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10/28/25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Qorvo,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Skyworks Solutions,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08/02/22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Sierra Wireless,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Semtech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05/05/22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Silicon Motion Technology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MaxLinear,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13.3x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02/08/21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Dialog Semiconductor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22.9x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10/29/20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Inphi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13.3x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47.0x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10/27/20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Xilinx,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Advanced Micro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36.4x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07/13/20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 Integrated Products,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06/03/19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22.1x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03/27/19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Quantenna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30.6x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03/11/19</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Mellanox Technologies,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NVIDIA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20.2x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Integrated Device Technology,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15.5x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02/20/18</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4.9x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17.5x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11/20/17</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Marvell Technology Group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6.2x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25.0x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12/21/16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InvenSense,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TDK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color w:val="000000"/>
              </w:rPr>
            </w:pPr>
            <w:r>
              <w:rPr>
                <w:color w:val="000000"/>
              </w:rPr>
              <w:t xml:space="preserve">—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11/02/16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Brocade Communications Systems,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12.8x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Intersil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Renesas Electronics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5.4x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31.1x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07/26/16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Linear Technology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9.0x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25.3x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06/15/16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QLogic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Cavium,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14.9x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01/19/16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Atmel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Microchip Technology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2.9x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21.7x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11/24/15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PMC-Sierra,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Microsemi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4.2x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11/18/15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Fairchild Semiconductor International,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ON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20.9x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06/01/15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Altera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Intel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7.7x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35.6x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05/28/15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3.6x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15.0x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04/30/15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OmniVision Technologies,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Investor Group</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22.0x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03/01/15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Freescale Semiconductor, Ltd.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NXP Semiconductors N.V.</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16.7x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12/01/14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Spansion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Cypress Semiconductor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16.8x </w:t>
            </w:r>
          </w:p>
        </w:tc>
      </w:tr>
      <w:tr>
        <w:trPr/>
        <w:tc>
          <w:tcPr>
            <w:tcW w:w="1472"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10/15/14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341"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CSR plc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849"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76"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2.8x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47"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27.1x </w:t>
            </w:r>
          </w:p>
        </w:tc>
      </w:tr>
      <w:tr>
        <w:trPr/>
        <w:tc>
          <w:tcPr>
            <w:tcW w:w="1472"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08/20/14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International Rectifier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Infineon Technologies AG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2.0x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22.3x </w:t>
            </w:r>
          </w:p>
        </w:tc>
      </w:tr>
      <w:tr>
        <w:trPr/>
        <w:tc>
          <w:tcPr>
            <w:tcW w:w="1472"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341"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849"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76"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47" w:type="dxa"/>
            <w:tcBorders/>
            <w:vAlign w:val="center"/>
          </w:tcPr>
          <w:p>
            <w:pPr>
              <w:pStyle w:val="TableContents"/>
              <w:bidi w:val="0"/>
              <w:spacing w:before="0" w:after="0"/>
              <w:jc w:val="left"/>
              <w:rPr/>
            </w:pPr>
            <w:r>
              <w:rPr/>
              <w: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7" w:name="ny20081083x2_defm14a_113-merger_pg39"/>
        <w:bookmarkEnd w:id="117"/>
        <w:r>
          <w:rPr>
            <w:rStyle w:val="InternetLink"/>
            <w:rFonts w:ascii="Times New Roman;Times;Serif" w:hAnsi="Times New Roman;Times;Serif"/>
            <w:b/>
            <w:caps w:val="false"/>
            <w:smallCaps w:val="false"/>
            <w:color w:val="000000"/>
            <w:sz w:val="16"/>
          </w:rPr>
          <w:t>TABLE OF CONTENTS</w:t>
        </w:r>
      </w:hyperlink>
    </w:p>
    <w:tbl>
      <w:tblPr>
        <w:tblW w:w="9665" w:type="dxa"/>
        <w:jc w:val="left"/>
        <w:tblInd w:w="0" w:type="dxa"/>
        <w:tblLayout w:type="fixed"/>
        <w:tblCellMar>
          <w:top w:w="0" w:type="dxa"/>
          <w:left w:w="0" w:type="dxa"/>
          <w:bottom w:w="0" w:type="dxa"/>
          <w:right w:w="0" w:type="dxa"/>
        </w:tblCellMar>
      </w:tblPr>
      <w:tblGrid>
        <w:gridCol w:w="1505"/>
        <w:gridCol w:w="140"/>
        <w:gridCol w:w="140"/>
        <w:gridCol w:w="3035"/>
        <w:gridCol w:w="140"/>
        <w:gridCol w:w="140"/>
        <w:gridCol w:w="2570"/>
        <w:gridCol w:w="140"/>
        <w:gridCol w:w="140"/>
        <w:gridCol w:w="680"/>
        <w:gridCol w:w="140"/>
        <w:gridCol w:w="140"/>
        <w:gridCol w:w="75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0"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Announcement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Target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Acquiror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Revenue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Multiple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bottom w:val="single" w:sz="8" w:space="0" w:color="000000"/>
            </w:tcBorders>
            <w:tcMar>
              <w:bottom w:w="40"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NTM P/E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Multiple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06/09/14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Hittite Microwave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Analog Devices,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6.5x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28.6x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02/24/14</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TriQuint Semiconductor,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RF Micro Devices,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1.8x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32.4x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12/16/13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LSI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Avago Technologies Limited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2.7x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17.1x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07/12/13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Spreadtrum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Tsinghua Holdings Co., Ltd.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1.5x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10.6x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06/22/12</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MStar Semiconductor,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MediaTek Inc.</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2.1x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15.9x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09/12/11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NetLogic Microsystems,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Broadcom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8.3x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29.2x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04/04/11</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03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National Semiconductor Corporation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25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Texas Instruments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80"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4.4x</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755" w:type="dxa"/>
            <w:tcBorders/>
            <w:shd w:fill="CCEEFF" w:val="clear"/>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18.8x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01/05/11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Atheros Communications, Inc.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QUALCOMM Incorporated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3.4x</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23.5x</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7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75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Note: “-” means non-meaningful. Multiples not publicly available, greater than 70.0x or negative are considered non-meaningful.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Revenue Multiples for the selected transactions and the application of its professional judgment, Qatalyst Partners selected a representative multiple range of 2.75x to 4.75x, then applied this range to Synaptics’ estimated next-twelve-months’ revenue based on the Analyst Estimates. Qatalyst Partners then added Synaptics’ cash and subtracted the face value of Synaptics’ outstanding debt, in each case as of June 27, 2026, and as disclosed in Synaptics’ Annual Report on Form 10-K for the fiscal year then ended, and divided the resulting implied equity values by the number of fully diluted shares of Synaptics common stock outstanding as of September 25, 2026 (calculated utilizing the same methodology as used in the above discounted cash flow analysis), as provided by Synaptics’ management. This analysis implied a range of values for Synaptics common stock of approximately $74 to $134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Based on an analysis of the NTM P/E Multiples for the selected transactions and the application of its professional judgment, Qatalyst Partners selected a representative multiple range of 15.0x to 30.0x, then applied this range to Synaptics’ estimated next-twelve-months’ non-GAAP earnings per share (excluding stock-based compensation expense, amortization of intangibles and other non-cash items) based on the Analyst Estimates. This analysis implied a range of values for Synaptics common stock of approximately $79 to $157 per share.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 company or transaction utilized in the selected transactions analysis is identical to Synaptics or the Merger. In evaluating the selected transactions, Qatalyst Partners made judgments and assumptions with regard to industry performance, general business, economic, market and financial conditions and other matters, many of which are beyond Synaptics’ control, such as the impact of competition on Synaptics’ business or the industry generally, industry growth and the absence of any material adverse change in Synaptics’ financial condition and prospects or the industry or in the financial markets in general, which could affect the public trading value of the companies and the aggregate value of the transactions to which they are being compared. Individual multiples or mathematical analyses, such as determining the arithmetic mean, median, or the high or low, are not in themselves meaningful methods of using selected transactional data. Because of the unique circumstances of each of these selected transactions and the Merger, Qatalyst Partners cautioned against placing undue reliance on this information.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Miscellaneous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review of the Merger by the Synaptics board, Qatalyst Partners performed a variety of financial and comparative analyses for purposes of rendering its opinion. The preparation of a financial opinion is a complex process and is not necessarily amenable to a partial analysis or summary description. In arriving at its opinion, Qatalyst Partners considered the results of all its analyses as a whole and did not attribute any particular weight to any analysis or factor it considered. Qatalyst Partners believes that selecting any portion of its analyses, without considering all analyses as a whole, could create a misleading or incomplete view of the process underlying its analyses and opinion. In addition, Qatalyst Partners may have given various analyses and factors more or less weight than other analyses and factors, and may have deemed various assumptions more or less probable than other assumptions. As a result, the ranges of valuations resulting from any particular analysis described above should not be taken to be Qatalyst Partners’ view of the actual value of Synaptics. In performing its analyses, Qatalyst Partners made numerous assumptions with respect to industry performance, general business, economic, market and financial conditions and other matters, many of which are beyond the control of Synaptics. Any estimates contained in Qatalyst Partners’ analyses are not necessarily indicative of future results or actual values, which may be significantly more or less favorable than those suggested by such estimates.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69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18" w:name="ny20081083x2_defm14a_113-merger_pg40"/>
        <w:bookmarkEnd w:id="11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conducted the analyses described above solely as part of its analysis of the fairness, from a financial point of view, of the Merger Consideration to be received by Synaptics stockholders (other than onsemi or any affiliate of onsemi) pursuant to, and in accordance with, the terms of the Merger Agreement. These analyses do not purport to be appraisals or to reflect the price at which Synaptics common stock might actually trade or may otherwise be transferable at any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opinion and its presentation to the Synaptics board were among many factors considered by the Synaptics board in deciding to approve the Merger Agreement. Consequently, the analyses as described above should not be viewed as determinative of the opinion of the Synaptics board with respect to the Merger Consideration to be received pursuant to, and in accordance with, the terms of the Merger Agreement by Synaptics stockholders (other than onsemi or any affiliate of onsemi) or of whether the Synaptics board would have been willing to agree to different consideration. The Merger Consideration payable in the Merger was determined through arm’s-length negotiations between Synaptics and onsemi, and was approved by the Synaptics board. Qatalyst Partners provided advice to Synaptics during these negotiations. Qatalyst Partners did not, however, recommend any specific consideration to Synaptics or that any specific consideration constituted the only appropriate consideration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Synaptics, onsemi or certain of their respective affiliates. During the two-year period prior to the date of Qatalyst Partners’ opinion, no material relationship existed between Qatalyst Partners or any of its affiliates, on the one hand, and Synaptics or onsemi, on the other hand, pursuant to which compensation was received by Qatalyst Partners or its affiliates; however, Qatalyst Partners and/or its affiliates may in the future provide investment banking and other financial services to Synaptics or onsemi and/or their respective affiliates for which Qatalyst Partners would expect to receive compensation. </w:t>
      </w:r>
    </w:p>
    <w:p>
      <w:pPr>
        <w:pStyle w:val="TextBody"/>
        <w:bidi w:val="0"/>
        <w:spacing w:before="120" w:after="283"/>
        <w:ind w:left="0" w:right="0" w:firstLine="400"/>
        <w:jc w:val="both"/>
        <w:rPr>
          <w:rFonts w:ascii="Times New Roman;Times;serif" w:hAnsi="Times New Roman;Times;serif"/>
          <w:b/>
          <w:i/>
          <w:color w:val="000000"/>
          <w:sz w:val="20"/>
        </w:rPr>
      </w:pPr>
      <w:r>
        <w:rPr>
          <w:rFonts w:ascii="Times New Roman;Times;serif" w:hAnsi="Times New Roman;Times;serif"/>
          <w:b/>
          <w:i/>
          <w:color w:val="000000"/>
          <w:sz w:val="20"/>
        </w:rPr>
        <w:t>Under the terms of its engagement letter, Qatalyst Partners provided Synaptics with financial advisory services in connection with the Merger for which it will be paid an aggregate amount currently estimated at approximately $69 million, $250,000 of which was payable upon the execution of the engagement letter, $5 million of which was paid upon delivery of its opinion dated June 25, 2026 (regardless of the conclusion reached in the opinion), $2.5 million of which was payable upon delivery of its opinion dated September 29, 2026 (regardless of the conclusion reached in the opinion), and the remaining portion of which will be paid upon, and subject to, the consummation of the Merger. Synaptics has also agreed to reimburse Qatalyst Partners for certain expenses incurred in performing its services. Synaptics has also agreed to indemnify Qatalyst Partners and its affiliates, their respective members, directors, officers, partners, agents and employees and any person controlling Qatalyst Partners or any of its affiliates against certain liabilities, including certain liabilities under federal securities laws, and certain expenses related to or arising out of Qatalyst Partners’ engagement.</w:t>
      </w:r>
      <w:r>
        <w:rPr>
          <w:rFonts w:ascii="Times New Roman;Times;serif" w:hAnsi="Times New Roman;Times;serif"/>
          <w:b/>
          <w:i/>
          <w:caps w:val="false"/>
          <w:smallCaps w:val="false"/>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bookmarkStart w:id="119" w:name="tFTMERG"/>
      <w:bookmarkEnd w:id="119"/>
      <w:r>
        <w:rPr>
          <w:rFonts w:ascii="Times New Roman;Times;serif" w:hAnsi="Times New Roman;Times;serif"/>
          <w:b/>
          <w:i/>
          <w:color w:val="000000"/>
          <w:sz w:val="20"/>
        </w:rPr>
        <w:t xml:space="preserve">Financing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consummation of the Merger is not conditioned on onsemi’s or Merger Sub’s ability to obtain financing for the Merger. onsemi has represented in the Merger Agreement that onsemi will have, as of the closing, sufficient funds to make all cash payments contemplated to be made by onsemi under the Merger Agreement in connection with the Merger (including the aggregate Merger Consideration), and to satisfy all other payment obligations of onsemi, Merger Sub or any of their respective subsidiaries that are required to be satisfied in connection with closing or with respect to the Merger and the other transactions contemplated by the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the Merger Agreement, onsemi entered into the Commitment Letter, pursuant to which the Financing Related Parties have agreed to provide, subject to satisfaction of customary closing conditions, up to $2,450,000,000 of senior secured term loan facilities for the purpose of funding a portion of the Merger Consideration, and paying fees, costs and expenses in connection with the Merger. onsemi provided copies of the executed Commitment Letter and the related redacted fee letters to Synaptics as required by the Merger Agreement. The receipt of financing by onsemi is not a condition to onsemi’s obligation to consummate the Merger. Pursuant to the Merger Agreement, Synaptics is required to use reasonable best efforts to provide onsemi with customary cooperation in connection with the financing.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0" w:name="ny20081083x2_defm14a_113-merger_pg41"/>
        <w:bookmarkEnd w:id="12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Synaptics Relationships and Related Transactions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under the heading “Other Matters—Certain Relationships and Related Transactions” in Synaptics’ Definitive Proxy Statement on Schedule 14A for Synaptics’ 2026 annual stockholder meeting, filed on September 15, 2026 is incorporated by reference into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delegated to the Synaptics compensation committee by the Synaptics board, the Synaptics audit committee charter requires that the audit committee review and approve all related party transactions and review and make recommendations to the full Synaptics board, or approve, any contracts or other transactions with current or former executive officers of Synaptics, including consulting arrangements, employment agreements, change in control agreements, termination arrangements, and loans to employees made or guaranteed by Synaptics. The Synaptics audit committee and the Synaptics board will only approve those related party transactions that, in light of known circumstances, are in, or are not inconsistent with, Synaptics’ best interests.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Other than compensation agreements and other arrangements described in this proxy statement, there were no transactions or series of similar transactions since June 29, 2025 (the beginning of Synaptics’ fiscal year ended June 27, 2026) to which Synaptics was or is a party that involved an amount exceeding $120,000, and in which any of Synaptics’ directors, executive officers, holders of more than 5% of any class of Synaptics’ voting securities, or any member of the immediate family of any of the foregoing persons, had or will have a direct or indirect material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indemnification agreements with each of its directors and executive officers. These agreements require Synaptics to indemnify such individuals to the fullest extent permitted by Delaware law for certain liabilities to which they may become subject as a result of their affiliation with Synaptics.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Interests of Synaptics’ Directors and 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directors and executive officers of Synaptics have interests in the Merger that may be different from, or in addition to, the interests of Synaptics stockholders generally that may create potential conflicts of interests. The Synaptics board was aware of these interests and considered them, among other matters, in evaluating and negotiating the Merger Agreement and the Merger, and in approving the Merger Agreement. The Merger will constitute a “change of control” for purposes of Synaptics’ compensation arrangements, and certain payments are contingent upon or in connection with the Merger.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named executive officers are: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Rahul Patel – President and Chief Executive Officer </w:t>
            </w:r>
          </w:p>
        </w:tc>
      </w:tr>
    </w:tbl>
    <w:tbl>
      <w:tblPr>
        <w:tblW w:w="5755" w:type="dxa"/>
        <w:jc w:val="left"/>
        <w:tblInd w:w="0" w:type="dxa"/>
        <w:tblLayout w:type="fixed"/>
        <w:tblCellMar>
          <w:top w:w="0" w:type="dxa"/>
          <w:left w:w="0" w:type="dxa"/>
          <w:bottom w:w="0" w:type="dxa"/>
          <w:right w:w="0" w:type="dxa"/>
        </w:tblCellMar>
      </w:tblPr>
      <w:tblGrid>
        <w:gridCol w:w="110"/>
        <w:gridCol w:w="5645"/>
      </w:tblGrid>
      <w:tr>
        <w:trPr/>
        <w:tc>
          <w:tcPr>
            <w:tcW w:w="110" w:type="dxa"/>
            <w:tcBorders/>
            <w:vAlign w:val="center"/>
          </w:tcPr>
          <w:p>
            <w:pPr>
              <w:pStyle w:val="TableContents"/>
              <w:bidi w:val="0"/>
              <w:spacing w:before="0" w:after="0"/>
              <w:jc w:val="left"/>
              <w:rPr>
                <w:color w:val="000000"/>
              </w:rPr>
            </w:pPr>
            <w:r>
              <w:rPr>
                <w:color w:val="000000"/>
              </w:rPr>
              <w:t>•</w:t>
            </w:r>
          </w:p>
        </w:tc>
        <w:tc>
          <w:tcPr>
            <w:tcW w:w="56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Ken Rizvi – former Senior Vice President and Chief Financial Officer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Lisa Bodensteiner – Senior Vice President, Chief Legal Officer and Secretary </w:t>
            </w:r>
          </w:p>
        </w:tc>
      </w:tr>
    </w:tbl>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Satish Ganesan – Senior Vice President and General Manager, Intelligent Sensing Division, and Chief Strategy Officer </w:t>
            </w:r>
          </w:p>
        </w:tc>
      </w:tr>
    </w:tbl>
    <w:tbl>
      <w:tblPr>
        <w:tblW w:w="8455" w:type="dxa"/>
        <w:jc w:val="left"/>
        <w:tblInd w:w="0" w:type="dxa"/>
        <w:tblLayout w:type="fixed"/>
        <w:tblCellMar>
          <w:top w:w="0" w:type="dxa"/>
          <w:left w:w="0" w:type="dxa"/>
          <w:bottom w:w="0" w:type="dxa"/>
          <w:right w:w="0" w:type="dxa"/>
        </w:tblCellMar>
      </w:tblPr>
      <w:tblGrid>
        <w:gridCol w:w="110"/>
        <w:gridCol w:w="8345"/>
      </w:tblGrid>
      <w:tr>
        <w:trPr/>
        <w:tc>
          <w:tcPr>
            <w:tcW w:w="110" w:type="dxa"/>
            <w:tcBorders/>
            <w:vAlign w:val="center"/>
          </w:tcPr>
          <w:p>
            <w:pPr>
              <w:pStyle w:val="TableContents"/>
              <w:bidi w:val="0"/>
              <w:spacing w:before="0" w:after="0"/>
              <w:jc w:val="left"/>
              <w:rPr>
                <w:color w:val="000000"/>
              </w:rPr>
            </w:pPr>
            <w:r>
              <w:rPr>
                <w:color w:val="000000"/>
              </w:rPr>
              <w:t>•</w:t>
            </w:r>
          </w:p>
        </w:tc>
        <w:tc>
          <w:tcPr>
            <w:tcW w:w="83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Vikram Gupta – Senior Vice President and General Manager, IoT Processors, and Chief Product Officer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 non-employee directors are Nelson C. Chan, Jeffrey D. Buchanan, Keith B. Geeslin, Susan Hardman, Patricia Kummrow, Vivie Lee, Venkatesh Nathamuni and James L. Whims.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these interests include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hold equity awards that will be subject to the treatment of equity awards described in the Merger Agreement, including accelerated vesting of certain awards in connection with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have rights to severance, equity acceleration and other benefits under change of control and severance agreements upon their qualifying termination three months prior to or 18 months following the closing of the Merger;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and non-employee directors have rights to continued indemnification and directors’ and officers’ liability insurance following the effective time;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executive officers will receive prorated annual cash bonuses for the fiscal year in which the effective time occurs, calculated based on target performance levels and the portion of the fiscal year that has elapsed through the effective time, payable within 15 days following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1" w:name="ny20081083x2_defm14a_113-merger_pg42"/>
        <w:bookmarkEnd w:id="12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22" w:name="tCTT1"/>
      <w:bookmarkEnd w:id="122"/>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obligations of onsemi, Merger Sub and Synaptics to complete the Merger are subject to the satisfaction or waiver (to the extent permitted by applicable law) of a number of conditions at or prior to the closing.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Mutual Conditions </w:t>
      </w:r>
    </w:p>
    <w:p>
      <w:pPr>
        <w:pStyle w:val="TextBody"/>
        <w:bidi w:val="0"/>
        <w:spacing w:before="14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mutual conditions to each party’s obligation to complete the Merger include: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having been adopted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onsemi’s and Merger Sub’s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w:t>
            </w:r>
          </w:p>
        </w:tc>
      </w:tr>
    </w:tbl>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Additional Conditions to Synaptics’ Obligations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Similarly, 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two preceding conditions have been satisfied. </w:t>
            </w:r>
          </w:p>
        </w:tc>
      </w:tr>
    </w:tbl>
    <w:p>
      <w:pPr>
        <w:pStyle w:val="TextBody"/>
        <w:bidi w:val="0"/>
        <w:spacing w:before="120" w:after="283"/>
        <w:ind w:left="0" w:right="0" w:firstLine="400"/>
        <w:jc w:val="both"/>
        <w:rPr/>
      </w:pPr>
      <w:r>
        <w:rPr>
          <w:rFonts w:ascii="Times New Roman;Times;serif" w:hAnsi="Times New Roman;Times;serif"/>
          <w:color w:val="000000"/>
          <w:sz w:val="20"/>
        </w:rPr>
        <w:t xml:space="preserve">Neither onsemi nor Synaptics can give any assurance as to when or whether all of the conditions to the Merger will be satisfied or waived or that the Merger will be completed. For a more detailed description of the conditions to the Merger, see “The Merger Agreement—Conditions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240" w:after="283"/>
        <w:ind w:left="0" w:right="0" w:hanging="0"/>
        <w:jc w:val="left"/>
        <w:rPr>
          <w:rFonts w:ascii="Times New Roman;Times;serif" w:hAnsi="Times New Roman;Times;serif"/>
          <w:b/>
          <w:i/>
          <w:color w:val="000000"/>
          <w:sz w:val="20"/>
        </w:rPr>
      </w:pPr>
      <w:bookmarkStart w:id="123" w:name="tRARM"/>
      <w:bookmarkEnd w:id="123"/>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Completion of the Merger is conditioned upon the expiration or termination of any waiting period (and any extension thereof, including any commitment to, or agreement with, any Governmental Entity to delay the consummation of, or not to consummate before a certain date, the Merger) under any applicable Antitrust Law of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4" w:name="ny20081083x2_defm14a_113-merger_pg43"/>
        <w:bookmarkEnd w:id="12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Specified Antitrust Jurisdictions.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The process for obtaining the requisite regulatory approvals for the Merger is ongoing.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currently believe they should be able to obtain all required regulatory approvals in a timely manner, the parties cannot be certain when or if they will obtain them or, if obtained, whether the approvals will contain terms, conditions or restrictions not currently contemplated that will be detrimental to Synaptics after the completion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approval of an application for regulatory approval means only that the regulatory criteria for approval have been satisfied or waived. It does not mean that the approving regulatory authority has determined that the consideration to be received by holders of Synaptics common stock and/or the Merger is fair to Synaptics stockholders. Regulatory approval does not constitute an endorsement or recommendation of the Merger by any regulatory authority.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U.S. Antitrust Filing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HSR Act, certain transactions, including the Merger, may not be completed unless certain waiting period requirements have expired or been terminated. The HSR Act provides that each party must file its respective HSR notifications with the FTC and the DOJ. A transaction notifiable under the HSR Act may not be completed until the expiration of a 30-day waiting period following the parties’ filings of their respective HSR notifications or the early termination of that waiting period. If the DOJ or FTC issues a Second Request for additional information and documentary material prior to the expiration of this initial 30-day waiting period, the transaction cannot close until the parties substantially comply with the Second Request and observe a second waiting period, which is 30 days by statute, but such waiting period can be terminated earlier and the parties may also enter into an agreement with the relevant Governmental Entity not to close the transaction before a specified time notwithstanding the expiration of the statutory waiting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Agreement (prior to the October 1 amendments), the parties’ HSR notifications were filed with the FTC and the DOJ on July 17, 2026. On August 12, 2026, the parties received notice that early termination of the waiting period under the HSR Act was granted by the FTC, effective as of August 12, 2026.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any time before or after the expiration or termination of any applicable waiting period, or any extension thereof, under the HSR Act, or before or after the Merger is completed, the DOJ or the FTC may take action under applicable antitrust laws in opposition to the Merger, including seeking to enjoin completion of the Merger, to rescind the Merger or to conditionally permit completion of the Merger subject to regulatory concessions or conditions. In addition, U.S. state attorneys general could investigate the transaction or take action under applicable antitrust laws as they deem necessary or desirable in the public interest, including, without limitation, seeking to enjoin the completion of the Merger or permitting completion subject to regulatory concessions or conditions. Private parties may also seek to take legal action under applicable antitrust laws under some circumstances.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neither onsemi nor Synaptics believes that the Merger will violate applicable antitrust laws, there can be no assurance that a challenge to the Merger on antitrust grounds will not be made or, if such a challenge is made, that it would not be successful.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iii) Other Governmental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the HSR Act filing described above, onsemi and Synaptics have determined to make merger notifications pursuant to applicable antitrust laws in the other Specified Antitrust Jurisdictions and pursuant to foreign direct investment laws in the Specified Foreign Investment Jurisdictions, as described above under “The Merger May Not Be Completed Without All Required Regulatory Approvals.” The parties may also make notifications in additional jurisdictions in the future. If any additional governmental approvals or actions are required for completion of the Merger, onsemi and Synaptics will use their respective reasonable best efforts, subject to the limitations described in the Merger Agreement, to obtain each such approval necessary to complete the Merger. There can be no assurance, however, that any additional approvals or actions will be obtained.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Efforts to Obtain Regulatory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have agreed in the Merger Agreement to, in consultation and cooperation with each other and as promptly as practicable and advisable after the date of the Merger Agreement, use reasonable best efforts to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5" w:name="ny20081083x2_defm14a_113-merger_pg44"/>
        <w:bookmarkEnd w:id="12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prepare and file (or pre-file as applicable) all notifications required by the Specified Antitrust Jurisdictions. Further, subject to the terms and conditions set forth in the Merger Agreement, onsemi agreed to use reasonable best efforts to take, or cause to be taken, all actions necessary to avoid or eliminate each and every impediment under applicable antitrust laws and foreign direct investment laws to enable the parties to close the transaction as promptly as possible. In furtherance of the foregoing, onsemi’s reasonable best efforts will be deemed to include, among other things, the divesture, licensing or disposition, or certain other behavioral or conduct remedies with respect to the assets, properties, businesses or product lines of onsemi or any of its affiliates or Synaptics or any of its affiliates, unless such actions would have a material adverse effect on the business or financial condition of Synaptics or its subsidiaries, taken as a whole, or on the business or financial condition of onsemi, taken as a whole and including the benefits reasonably expected to be realized by onsemi in consummating the Merger, measured relative to the size and scale of Synaptics and its affiliates. Further, onsemi may not acquire any assets or businesses (or portions thereof) that compete with Synaptics if such acquisition(s) would reasonably be expected to materially delay, materially impede or prevent the closing. </w:t>
      </w:r>
    </w:p>
    <w:p>
      <w:pPr>
        <w:pStyle w:val="TextBody"/>
        <w:bidi w:val="0"/>
        <w:spacing w:before="120" w:after="283"/>
        <w:ind w:left="0" w:right="0" w:firstLine="400"/>
        <w:jc w:val="both"/>
        <w:rPr/>
      </w:pPr>
      <w:r>
        <w:rPr>
          <w:rFonts w:ascii="Times New Roman;Times;serif" w:hAnsi="Times New Roman;Times;serif"/>
          <w:color w:val="000000"/>
          <w:sz w:val="20"/>
        </w:rPr>
        <w:t xml:space="preserve">These requirements are described in more detail in the section titled “Regulatory Efforts Required for the Merger” beginning on page </w:t>
      </w:r>
      <w:hyperlink w:anchor="tRARM">
        <w:r>
          <w:rPr>
            <w:rStyle w:val="InternetLink"/>
            <w:rFonts w:ascii="Times New Roman;Times;serif" w:hAnsi="Times New Roman;Times;serif"/>
            <w:color w:val="000080"/>
            <w:sz w:val="20"/>
          </w:rPr>
          <w:t>72</w:t>
        </w:r>
      </w:hyperlink>
      <w:r>
        <w:rPr>
          <w:rFonts w:ascii="Times New Roman;Times;serif" w:hAnsi="Times New Roman;Times;serif"/>
          <w:color w:val="000000"/>
          <w:sz w:val="20"/>
        </w:rPr>
        <w:t xml:space="preserve"> of this proxy statement.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 Assurances of Obtaining Approvals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Although onsemi and Synaptics believe that the parties will obtain all necessary regulatory approvals or clearances, there can be no assurances that any of the regulatory approvals described above will be obtained and, if obtained, there can be no assurance as to the timing of such approvals, the ability to obtain such approvals on satisfactory terms or the absence of any litigation challenging such approvals.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Timing </w:t>
      </w:r>
    </w:p>
    <w:p>
      <w:pPr>
        <w:pStyle w:val="TextBody"/>
        <w:bidi w:val="0"/>
        <w:spacing w:before="120" w:after="283"/>
        <w:ind w:left="0" w:right="0" w:firstLine="400"/>
        <w:jc w:val="both"/>
        <w:rPr/>
      </w:pPr>
      <w:r>
        <w:rPr>
          <w:rFonts w:ascii="Times New Roman;Times;serif" w:hAnsi="Times New Roman;Times;serif"/>
          <w:color w:val="000000"/>
          <w:sz w:val="20"/>
        </w:rPr>
        <w:t xml:space="preserve">Subject to certain conditions, either onsemi or Synaptics may terminate the Merger Agreement if the Merger is not completed on or before the End Date (June 25, 2027, or as otherwise automatically extended if applicable). See the section titled “The Merger Agreement—Termination of the Merger Agreement” beginning on page </w:t>
      </w:r>
      <w:hyperlink w:anchor="tAT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340" w:after="283"/>
        <w:ind w:left="0" w:right="0" w:hanging="0"/>
        <w:jc w:val="left"/>
        <w:rPr>
          <w:rFonts w:ascii="Times New Roman;Times;serif" w:hAnsi="Times New Roman;Times;serif"/>
          <w:b/>
          <w:i/>
          <w:color w:val="000000"/>
          <w:sz w:val="20"/>
        </w:rPr>
      </w:pPr>
      <w:bookmarkStart w:id="126" w:name="tMND"/>
      <w:bookmarkEnd w:id="126"/>
      <w:r>
        <w:rPr>
          <w:rFonts w:ascii="Times New Roman;Times;serif" w:hAnsi="Times New Roman;Times;serif"/>
          <w:b/>
          <w:i/>
          <w:color w:val="000000"/>
          <w:sz w:val="20"/>
        </w:rPr>
        <w:t xml:space="preserve">Appraisal Rights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If the Merger is consummated, holders of Synaptics common stock who continuously hold such shares of Synaptics common stock through the effective time, who do not vote in favor of the Merger Proposal, who properly demand appraisal of such shares of Synaptics common stock in accordance with Section 262 of the DGCL, and who otherwise comply with the statutory requirements of Section 262 will be entitled to seek appraisal by the Delaware Court of Chancery of the “fair value” of their shares of Synaptics common stock in connection with the Merger under Section 262. The following discussion is not a complete statement of the law pertaining to appraisal rights under the DGCL and is qualified in its entirety by the full text of Section 262, which is included in this proxy statement as Annex C, and is incorporated by reference into this proxy statement. The following summary does not constitute any legal or other advice and does not constitute a recommendation that Synaptics stockholders exercise their appraisal rights under Section 262. All references in Section 262 and in this summary to a “stockholder,” “holder of Synaptics common stock” or “Synaptics stockholder” are to the record holder of shares of Synaptics common stock unless otherwise expressly noted herein, and all such references to a “beneficial owner” mean a person who is the beneficial owner of shares of Synaptics common stock held either in voting trust or by a nominee on behalf of such person unless otherwise expressly noted herein (and the word “person” means any individual, corporation, partnership, unincorporated association or other entity).</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if the Merger is completed, holders and beneficial owners of shares of Synaptics common stock who: (i) submit a written demand for appraisal of their shares of Synaptics common stock and do not withdraw their demand, fail to perfect or otherwise lose their appraisal rights, in each case in accordance with Section 262; (ii) do not vote such shares (or cause such shares to be voted) in favor of the Merger Proposal; (iii) continuously are the record holders or beneficial owners, as the case may be, of such shares through the effective time; (iv) who are entitled to demand appraisal rights under Section 262 and (v) otherwise exactly follow the procedures set forth in Section 262 will be entitled to have their shares appraised by the Delaware Court of Chancery and receive payment in cash of the “fair value” of the shares of Synaptics common stock, exclusive of any element of value arising from the accomplishment or expectation of the Merger, together with interest to be paid on the amount determined to be fair value, if any, as determined by the court. However, after an appraisal petition has been filed, Section 262 provides that the Delaware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7" w:name="ny20081083x2_defm14a_113-merger_pg45"/>
        <w:bookmarkEnd w:id="12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Court of Chancery will dismiss appraisal proceedings as to all Synaptics stockholders and beneficial owners of shares of Synaptics common stock who have asserted appraisal rights unless (i) the total number of shares for which appraisal rights have been pursued and perfected exceeds 1% of the outstanding shares of Synaptics common stock eligible for appraisal as measured in accordance with subsection (g) of Section 262; or (ii) the value of the aggregate Merger Consideration in respect of the shares of Synaptics common stock for which appraisal rights have been pursued and perfected exceeds $1 million (conditions (i) and (ii) referred to as the “ownership thresholds”). Unless the Delaware Court of Chancery, in its discretion, determines otherwise for good cause shown, interest on an appraisal award will accrue and compound quarterly from the effective time through the date the judgment is paid at 5% over the Federal Reserve discount rate (including any surcharge) as established from time to time during such period. However, at any time before the Delaware Court of Chancery enters judgment in the appraisal proceedings, the Surviving Corporation may voluntarily pay to each Synaptics stockholder and beneficial owner of Synaptics common stock entitled to appraisal an amount in cash pursuant to subsection (h) of Section 262, in which case such interest will accrue after the time of such payment only on an amount that equals the difference, if any, between the amount so paid and the “fair value” of the shares as determined by the Delaware Court of Chancery, in addition to any interest accrued prior to the time of such voluntary cash payment, unless paid at such time. The Surviving Corporation is under no obligation to make such voluntary cash payment prior to such entry of judgment.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Section 262, where a merger is to be submitted for approval at a meeting of Synaptics stockholders, such as the Special Meeting, the corporation, not less than twenty (20) days prior to the meeting, must notify each stockholder of record as of the applicable record date who holds shares for which appraisal rights are available that appraisal rights are available. The notice must also include a copy of Section 262 or information directing the Synaptics stockholders to a publicly available electronic resource at which Section 262 may be accessed without subscription or cost. </w:t>
      </w:r>
      <w:r>
        <w:rPr>
          <w:rFonts w:ascii="Times New Roman;Times;serif" w:hAnsi="Times New Roman;Times;serif"/>
          <w:b/>
          <w:color w:val="000000"/>
          <w:sz w:val="20"/>
        </w:rPr>
        <w:t>This proxy statement constitutes Synaptics’ notice to Synaptics stockholders that appraisal rights are available in connection with the Merger, and the full text of Section 262 is included in this proxy statement as Annex C, and is incorporated by reference into this proxy statement.</w:t>
      </w:r>
      <w:r>
        <w:rPr>
          <w:rFonts w:ascii="Times New Roman;Times;serif" w:hAnsi="Times New Roman;Times;serif"/>
          <w:color w:val="000000"/>
          <w:sz w:val="20"/>
        </w:rPr>
        <w:t xml:space="preserve"> In connection with the Merger, any holder of shares of Synaptics common stock or any beneficial owner of Synaptics common stock who wishes to exercise appraisal rights, or who wishes to preserve such holder’s or beneficial owner’s right to do so, should review this discussion and the applicable provisions of Section 262 carefully. Failure to strictly comply with the requirements of Section 262 in a timely and proper manner may result in the loss of appraisal rights under the DGCL. A Synaptics stockholder or beneficial owner of Synaptics common stock who loses their appraisal rights will be entitled to receive the Merger Consideration. Moreover, the process of dissenting and exercising appraisal rights requires compliance with technical prerequisites, and because of the complexity of the procedures for exercising the right to seek appraisal of shares of Synaptics common stock, a Synaptics stockholder or beneficial owner of Synaptics common stock wishing to exercise such rights should seek the advice of legal counsel and financial advisors.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or beneficial owners of shares of Synaptics common stock wishing to exercise the right to seek an appraisal of their shares of Synaptics common stock must do ALL of the following: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Synaptics stockholder, such person must not vote, or abstain from voting, in favor of the Merger Proposal. In the case of a beneficial owner of Synaptics common stock, such person must not instruct such person’s broker, bank or other nominee to vote such person’s share, or abstain from voting, in favor of the Merger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Synaptics stockholders or beneficial owners of Synaptics common stock must deliver to Synaptics a written demand for appraisal before the vote on the Merger Proposal at the Special Meeting, which written demand must reasonably inform Synaptics of the identity of the Synaptics stockholder or beneficial owner of Synaptics common stock and that the Synaptics stockholder or beneficial owner of Synaptics common stock intends to demand appraisal of their shares. This written demand for appraisal must be in addition to and separate from any proxy or vote abstaining from or voting against the Merger Proposal. Voting “</w:t>
            </w:r>
            <w:r>
              <w:rPr>
                <w:rFonts w:ascii="Times New Roman;Times;serif" w:hAnsi="Times New Roman;Times;serif"/>
                <w:b/>
                <w:color w:val="000000"/>
                <w:sz w:val="20"/>
              </w:rPr>
              <w:t>AGAINST</w:t>
            </w:r>
            <w:r>
              <w:rPr>
                <w:rFonts w:ascii="Times New Roman;Times;serif" w:hAnsi="Times New Roman;Times;serif"/>
                <w:color w:val="000000"/>
                <w:sz w:val="20"/>
              </w:rPr>
              <w:t>” or failing to vote “</w:t>
            </w:r>
            <w:r>
              <w:rPr>
                <w:rFonts w:ascii="Times New Roman;Times;serif" w:hAnsi="Times New Roman;Times;serif"/>
                <w:b/>
                <w:color w:val="000000"/>
                <w:sz w:val="20"/>
              </w:rPr>
              <w:t>FOR</w:t>
            </w:r>
            <w:r>
              <w:rPr>
                <w:rFonts w:ascii="Times New Roman;Times;serif" w:hAnsi="Times New Roman;Times;serif"/>
                <w:color w:val="000000"/>
                <w:sz w:val="20"/>
              </w:rPr>
              <w:t xml:space="preserve">” the Merger Proposal by itself does not constitute a demand for appraisal within the meaning of Section 262;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or beneficial owners of Synaptics common stock must continuously hold or beneficially own, as applicable, the shares of Synaptics common stock from the date of making the demand through the effective time (a Synaptics stockholder or beneficial owner of Synaptics common stock will lose appraisal rights if the Synaptics stockholder or beneficial owner of Synaptics common stock transfers the shares before the effective time); and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8" w:name="ny20081083x2_defm14a_113-merger_pg46"/>
        <w:bookmarkEnd w:id="128"/>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Synaptics stockholders or beneficial owners of Synaptics common stock must otherwise comply with the procedures of Section 262, including filing a petition in the Delaware Court of Chancery requesting a determination of the fair value of the shares within one hundred twenty (120) days after the effective time. The Surviving Corporation is under no obligation to file any petition and has no intention of doing so.</w:t>
            </w:r>
          </w:p>
        </w:tc>
      </w:tr>
    </w:tbl>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In addition, one of the ownership thresholds articulated in Section 262(g) must be met.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Because a proxy that does not contain voting instructions will, unless revoked, be voted in favor of the Merger Proposal, a Synaptics stockholder or beneficial owner of Synaptics common stock who votes by proxy and who wishes to exercise appraisal rights must vote against the adoption of the Merger Agreement, abstain or not vote the shares.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Filing a Written Demand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holder of shares of Synaptics common stock or beneficial owner of Synaptics common stock wishing to exercise appraisal rights must deliver to Synaptics, before the vote on the Merger Proposal at the Special Meeting at which the proposal to adopt the Merger Agreement will be submitted to Synaptics Stockholders, a written demand for the appraisal of the shares of Synaptics common stock held by the Synaptics stockholder or shares of Synaptics common stock beneficially owned by the beneficial owner, as applicable.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Synaptics stockholder, such Synaptics stockholder must not vote or submit a proxy in favor of the adoption of the Merger Agreement. A proxy that is submitted and does not contain voting instructions will, unless revoked, be voted in favor of the adoption of the Merger Agreement, and it will constitute a waiver of the Synaptics stockholder’s appraisal rights. Therefore, a Synaptics stockholder who submits a proxy and who wishes to exercise appraisal rights must submit a proxy containing instructions to vote against the Merger Proposal or abstain from voting, or otherwise fail to vote, on the Merger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beneficial owner of Synaptics common stock, brokers, banks and other nominees that hold shares of Synaptics common stock in “street name” for their customers do not have discretionary authority to vote those shares on the Merger Proposal without specific voting instructions from the beneficial owner on such proposal, but such brokers, banks or other nominees will vote such shares of Synaptics common stock as instructed if the beneficial owner provides such instructions. If a beneficial owner of shares of Synaptics common stock held in “street name” instructs such person’s broker, bank or other nominee to vote such person’s shares in favor of the proposal to approve the Merger Proposal, and does not revoke such instruction prior to the vote on the proposal to approve the Merger Proposal, then such shares of Synaptics common stock will be voted in favor of the approval of the Merger Agreement, and it will constitute a waiver of such beneficial owner’s right of appraisal and will nullify any previously delivered written demand for appraisal. Therefore, a beneficial owner of Synaptics common stock who wishes to exercise appraisal rights must either not provide any instructions to such person’s broker, bank or other nominee how to vote on the proposal to approve the Merger Proposal or must instruct such broker, bank or other nominee to vote against the approval of the Merger Proposal or abstain from voting on such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voting against the Merger Proposal nor abstaining from voting or failing to vote on the Merger Proposal will, in and of itself, constitute a written demand for appraisal satisfying the requirements of Section 262. The written demand for appraisal must be in addition to and separate from any proxy or vote on the adoption of the Merger Agreement. A proxy or vote against the Merger Proposal will not constitute a demand. A Synaptics stockholder’s or beneficial owner of Synaptics common stock’s failure to make the written demand prior to the taking of the vote on the Merger Proposal at the Special Meeting will constitute a waiver of appraisal rights.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 demand for appraisal made by a Synaptics stockholder or beneficial owner of Synaptics common stock must be executed by or on behalf of the holder of record or beneficial owner, as applicable, and must reasonably inform Synaptics of the identity of such holder or beneficial owner. In addition, in the case of a demand for appraisal made by a beneficial owner of Synaptics common stock, the demand must also reasonably identify the holder of record of the shares of Synaptics common stock for which the demand is made, be accompanied by documentary evidence of the beneficial owner’s ownership of Synaptics common stock (such as a brokerage or securities account statement containing such information or a letter from the broker or other record holder of such shares of Synaptics common stock confirming such information) and a statement that such documentary evidence is a true and accurate copy of what it purports to be, and provide an address at which such beneficial owner consents to receive notices given by the Surviving Corporation under Section 262 and to be set forth on the verified list required by subsection (f) of Section 262. Whether made by a Synaptics stockholder or beneficial owner of Synaptics common stock, a written demand for appraisal must state that the person intends thereby to demand appraisal of the person’s shares of Synaptics common stock in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29" w:name="ny20081083x2_defm14a_113-merger_pg47"/>
        <w:bookmarkEnd w:id="12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connection with the Merger. If the shares of Synaptics common stock are owned of record or beneficially owned in a fiduciary or representative capacity, such as by a trustee, guardian or custodian, such demand must be executed by or on behalf of the record owner or beneficial owner, and if the shares of Synaptics common stock are owned of record or beneficially owned by more than one person, as in a joint tenancy and tenancy in common, the demand must be executed by or on behalf of all joint record holders or beneficial owners. An authorized agent, including an authorized agent for two or more joint record holders or beneficial owners, may execute a demand for appraisal on behalf of a holder of record or beneficial owner; however, the agent must identify the record owner or owners or beneficial owner or owners, respectively, and expressly disclose that, in executing the demand, the agent is acting as agent for the record owner or owners or beneficial owner or owners, as applicable.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All demands for appraisal pursuant to Section 262 should be in writing and should be mailed or delivered to: </w:t>
      </w:r>
    </w:p>
    <w:p>
      <w:pPr>
        <w:pStyle w:val="TextBody"/>
        <w:bidi w:val="0"/>
        <w:spacing w:before="160" w:after="283"/>
        <w:jc w:val="center"/>
        <w:rPr>
          <w:rFonts w:ascii="Times New Roman;Times;serif" w:hAnsi="Times New Roman;Times;serif"/>
          <w:color w:val="000000"/>
          <w:sz w:val="20"/>
        </w:rPr>
      </w:pPr>
      <w:r>
        <w:rPr>
          <w:rFonts w:ascii="Times New Roman;Times;serif" w:hAnsi="Times New Roman;Times;serif"/>
          <w:color w:val="000000"/>
          <w:sz w:val="20"/>
        </w:rPr>
        <w:t xml:space="preserve">Synaptics Incorporated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1109 McKay Drive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San Jose, California 95131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Attention: Corporate Secretary </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(408) 904-1100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At any time within sixty days after the effective time, any holder of shares of Synaptics common stock or beneficial owner who has delivered a written demand to Synaptics and who has not commenced an appraisal proceeding or joined that proceeding as a named party may withdraw his, her or its demand for appraisal and accept the Merger Consideration offered pursuant to the Merger Agreement by delivering to Synaptics a written withdrawal of the demand for appraisal. However, any such attempt to withdraw the demand made more than sixty days after the effective time will require written approval of the Surviving Corporation. No appraisal proceeding in the Delaware Court of Chancery will be dismissed as to any Synaptics stockholder or beneficial owner without the approval of the Delaware Court of Chancery, and such approval may be conditioned upon such terms as the Delaware Court of Chancery deems just; provided, however, that this provision will not affect the right of any Synaptics stockholder or beneficial owner who has not commenced an appraisal proceeding or joined that proceeding as a named party to withdraw such Synaptics stockholder’s or beneficial owner’s demand for appraisal and to accept the Merger Consideration within sixty days after the effective time.</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Notice by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within ten days after the effective time, the Surviving Corporation will notify each holder of shares of Synaptics common stock or beneficial owner who has properly made a written demand for appraisal pursuant to Section 262, and who has not voted in favor of the adoption of the Merger Agreement, that the Merger has become effective and the effective date thereof. </w:t>
      </w:r>
    </w:p>
    <w:p>
      <w:pPr>
        <w:pStyle w:val="TextBody"/>
        <w:bidi w:val="0"/>
        <w:spacing w:before="29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Filing a Petition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one hundred twenty (120) days after the effective time, but not thereafter, the Surviving Corporation or any holder of shares of Synaptics common stock or beneficial owner who has complied with Section 262 and is entitled to seek appraisal under Section 262 may commence an appraisal proceeding by filing a petition in the Delaware Court of Chancery, with a copy served on the Surviving Corporation in the case of a petition filed by a Synaptics stockholder or beneficial owner, demanding a determination of the fair value of the shares of Synaptics common stock held by all dissenting Synaptics stockholders or beneficial owners entitled to appraisal rights who did not vote their shares of Synaptics common stock in favor of the Merger and properly demanded appraisal of such shares. The Surviving Corporation is under no obligation, and has no present intention, to file a petition, and Synaptics stockholders and beneficial owners should not assume that the Surviving Corporation will file a petition or initiate any negotiations with respect to the fair value of the shares of Synaptics common stock. Accordingly, any holders of shares of Synaptics common stock or beneficial owners who desire to have their shares of Synaptics common stock appraised should initiate all necessary action to perfect their appraisal rights in respect of their shares of Synaptics common stock within the time and in the manner prescribed in Section 262. The failure of a holder of Synaptics common stock or beneficial owner to file such a petition within the period specified in Section 262 could nullify the Synaptics stockholder’s or beneficial owner’s previous written demand for appraisal.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Within one hundred twenty (120) days after the effective time, any person who has complied with the requirements of Section 262 and who is entitled to appraisal rights thereunder will be entitled, upon written request, to receive from the Surviving Corporation a statement setting forth the aggregate number of shares of Synaptics common stock not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0" w:name="ny20081083x2_defm14a_113-merger_pg48"/>
        <w:bookmarkEnd w:id="13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voted in favor of the adoption of the Merger Agreement and with respect to which Synaptics has received demands for appraisal, and the aggregate number of holders of such shares of Synaptics common stock or beneficial owners holding or owning such shares of Synaptics common stock (</w:t>
      </w:r>
      <w:r>
        <w:rPr>
          <w:rFonts w:ascii="Times New Roman;Times;serif" w:hAnsi="Times New Roman;Times;serif"/>
          <w:i/>
          <w:color w:val="000000"/>
          <w:sz w:val="20"/>
        </w:rPr>
        <w:t>provided</w:t>
      </w:r>
      <w:r>
        <w:rPr>
          <w:rFonts w:ascii="Times New Roman;Times;serif" w:hAnsi="Times New Roman;Times;serif"/>
          <w:color w:val="000000"/>
          <w:sz w:val="20"/>
        </w:rPr>
        <w:t xml:space="preserve"> that, in the case of a demand made by a beneficial owner in such person’s name, the record holder of such shares will not be considered a separate stockholder holding such shares of Synaptics common stock for purposes of such aggregate number). The Surviving Corporation must give such statement to the requesting Synaptics stockholder or beneficial owner within ten (10) days after receipt by the Surviving Corporation of the written request for such a statement or within ten (10) days after the expiration of the period for delivery of demands for appraisal, whichever is later.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petition for an appraisal is duly filed by a holder of shares of Synaptics common stock or a beneficial owner and a copy thereof is served upon the Surviving Corporation, the Surviving Corporation will then be obligated within twenty (20) days after such service to file with the Delaware Register in Chancery a duly verified list containing the names and addresses of all Synaptics stockholders or beneficial owners of shares of Synaptics common stock who have demanded payment for their shares of Synaptics common stock and with whom agreements as to the value of their shares have not been reached. Upon the filing of any such petition, the Delaware Register in Chancery, if so ordered by the Delaware Court of Chancery, shall give notice of the time and place fixed for the hearing on the petition by registered or certified mail to the Surviving Corporation and all of the Synaptics stockholders or beneficial owners of shares of Synaptics common stock shown on such verified list at the addresses stated therein. The forms of such notices shall be approved by the Delaware Court of Chancery, and the costs thereof shall be borne by the Surviving Corporation. After notice to Synaptics stockholders or beneficial owners of shares of Synaptics common stock as required by the court, the Delaware Court of Chancery is empowered to conduct a hearing on the petition to determine those Synaptics stockholders or beneficial owners of shares of Synaptics common stock who have complied with Section 262 and who have become entitled to appraisal rights thereunder. The Delaware Court of Chancery may require the Synaptics stockholders or beneficial owners of shares of Synaptics common stock who demanded appraisal of their shares represented by certificates to submit their stock certificates (if any) to the Delaware Register in Chancery for notation thereon of the pendency of the appraisal proceedings and, if any Synaptics stockholder or beneficial owner of Synaptics common stock fails to comply with that direction, the Delaware Court of Chancery may dismiss that Synaptics stockholder or beneficial owner of Synaptics common stock from the proceedings. The Delaware Court of Chancery will dismiss appraisal proceedings as to all Synaptics stockholders and beneficial owners of shares of Synaptics common stock who assert appraisal rights unless one of the ownership thresholds is met. </w:t>
      </w:r>
    </w:p>
    <w:p>
      <w:pPr>
        <w:pStyle w:val="TextBody"/>
        <w:bidi w:val="0"/>
        <w:spacing w:before="40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Determination of Fair Value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After determining the holders and beneficial owners of shares of Synaptics common stock entitled to appraisal and that at least one of the ownership thresholds described above has been satisfied as to Synaptics stockholders or beneficial owners of shares of Synaptics common stock seeking appraisal rights, the appraisal proceeding will be conducted in accordance with the rules of the Delaware Court of Chancery, including any rules specifically governing appraisal proceedings. Through such proceeding, the Delaware Court of Chancery will determine the “fair value” of the shares of Synaptics common stock, exclusive of any element of value arising from the accomplishment or expectation of the Merger, together with interest, if any, to be paid upon the amount determined to be the fair value (subject, in the case of interest payments, to any voluntary cash payments made by the Surviving Corporation pursuant to subsection (h) of Section 262 that have the effect of limiting the sum on which interest accrues as described below). In determining fair value, the Delaware Court of Chancery will take into account all relevant factors. Unless the court in its discretion determines otherwise for good cause shown, interest from the effective time through the date of payment of the judgment will be compounded quarterly and will accrue at 5% over the Federal Reserve discount rate (including any surcharge) as established from time to time during the period between the effective time and the date of payment of the judgment. However, at any time before the Delaware Court of Chancery enters judgment in the appraisal proceedings, the Surviving Corporation may pay to each Synaptics stockholder and beneficial owner of Synaptics common stock entitled to appraisal an amount in cash, in which case such interest will accrue after the time of such payment only on an amount that equals the difference, if any, between the amount so paid and the “fair value” of the shares of Synaptics common stock as determined by the Delaware Court of Chancery, in addition to any interest accrued prior to the time of such voluntary payment, unless paid at such time.</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t>
      </w:r>
      <w:r>
        <w:rPr>
          <w:rFonts w:ascii="Times New Roman;Times;serif" w:hAnsi="Times New Roman;Times;serif"/>
          <w:i/>
          <w:color w:val="000000"/>
          <w:sz w:val="20"/>
        </w:rPr>
        <w:t>Weinberger v. UOP, Inc</w:t>
      </w:r>
      <w:r>
        <w:rPr>
          <w:rFonts w:ascii="Times New Roman;Times;serif" w:hAnsi="Times New Roman;Times;serif"/>
          <w:color w:val="000000"/>
          <w:sz w:val="20"/>
        </w:rPr>
        <w:t xml:space="preserve">., the Supreme Court of Delaware discussed the factors that could be considered in determining fair value in an appraisal proceeding, stating that “proof of value by any techniques or methods which are generally considered acceptable in the financial community and otherwise admissible in court” should be considered, and that “[f]air price obviously requires consideration of all relevant factors involving the value of a company.”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1" w:name="ny20081083x2_defm14a_113-merger_pg49"/>
        <w:bookmarkEnd w:id="13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Delaware Supreme Court stated that, in making this determination of fair value, the court must consider market value, asset value, dividends, earnings prospects, the nature of the enterprise and any other facts that could be ascertained as of the date of the Merger that throw any light on future prospects of the merged corporation. Section 262 provides that fair value is to be “exclusive of any element of value arising from the accomplishment or expectation of the Merger.” In </w:t>
      </w:r>
      <w:r>
        <w:rPr>
          <w:rFonts w:ascii="Times New Roman;Times;serif" w:hAnsi="Times New Roman;Times;serif"/>
          <w:i/>
          <w:color w:val="000000"/>
          <w:sz w:val="20"/>
        </w:rPr>
        <w:t>Cede &amp; Co. v. Technicolor, Inc.,</w:t>
      </w:r>
      <w:r>
        <w:rPr>
          <w:rFonts w:ascii="Times New Roman;Times;serif" w:hAnsi="Times New Roman;Times;serif"/>
          <w:color w:val="000000"/>
          <w:sz w:val="20"/>
        </w:rPr>
        <w:t xml:space="preserve"> the Delaware Supreme Court stated that such exclusion is a “narrow exclusion [that] does not encompass known elements of value,” but which rather applies only to the speculative elements of value arising from such accomplishment or expectation.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w:t>
      </w:r>
      <w:r>
        <w:rPr>
          <w:rFonts w:ascii="Times New Roman;Times;serif" w:hAnsi="Times New Roman;Times;serif"/>
          <w:i/>
          <w:color w:val="000000"/>
          <w:sz w:val="20"/>
        </w:rPr>
        <w:t>Weinberger</w:t>
      </w:r>
      <w:r>
        <w:rPr>
          <w:rFonts w:ascii="Times New Roman;Times;serif" w:hAnsi="Times New Roman;Times;serif"/>
          <w:color w:val="000000"/>
          <w:sz w:val="20"/>
        </w:rPr>
        <w:t xml:space="preserve">, the Supreme Court of Delaware also stated that “elements of future value, including the nature of the enterprise, which are known or susceptible of proof as of the date of the Merger and not the product of speculation, may be considered.” Synaptics stockholders and beneficial owners of shares of Synaptics common stock considering seeking appraisal should be aware that the fair value of their shares as so determined by the Delaware Court of Chancery could be more than, the same as or less than the Merger Consideration they would receive pursuant to the Merger if they did not seek appraisal of their shares and that an opinion of an investment banking firm as to the fairness from a financial point of view of the consideration payable in a merger is not an opinion as to, and does not in any manner address, fair value under Section 262. No representation is made as to the outcome of the appraisal of fair value as determined by the Delaware Court of Chancery, and Synaptics stockholders and beneficial owners of shares of Synaptics common stock should recognize that such an appraisal could result in a determination of a value higher or lower than, or the same as, the Merger Consideration. Neither Synaptics nor onsemi anticipates offering more than the Merger Consideration to any Synaptics stockholder or beneficial owner of Synaptics common stock exercising appraisal rights, and each of Synaptics and Parent reserves the rights to make a voluntary cash payment pursuant to subsection (h) of Section 262 and to assert, in any appraisal proceeding, that for purposes of Section 262, the “fair value” of a share of Synaptics common stock is less than the Merger Consideration. If a petition for appraisal is not timely filed, or if neither of the ownership thresholds described above has been satisfied as to Synaptics stockholders or beneficial owners of shares of Synaptics common stock seeking appraisal rights, then the right to an appraisal will cease. The costs of the appraisal proceedings (which do not include attorneys’ fees or the fees and expenses of experts) may be determined by the Delaware Court of Chancery and charged upon the parties as the Delaware Court of Chancery deems equitable under the circumstances. Upon application of a Synaptics stockholder or beneficial owner of Synaptics common stock, the Delaware Court of Chancery may also order that all or a portion of the expenses incurred by a Synaptics stockholder or beneficial owner of Synaptics common stock in connection with an appraisal proceeding, including, without limitation, reasonable attorneys’ fees and the fees and expenses of experts, be charged pro rata against the value of all the shares entitled to be appraised. In the absence of such determination or assessment, each party bears its own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Synaptics stockholder or beneficial owner of Synaptics common stock who demands appraisal of his, her or its shares of Synaptics common stock under Section 262 fails to perfect, withdraws or otherwise loses, such holder’s right to appraisal, the Synaptics stockholder’s or beneficial owner of Synaptics common stock’s shares of Synaptics common stock will be deemed to have been converted at the effective time into the right to receive the Merger Consideration, without interest, upon delivery by such holder of a properly completed and duly executed letter of transmittal to Synaptics or the exchange agent and transfer of the shares of Synaptics common stock. A Synaptics stockholder or beneficial owner of Synaptics common stock will fail to perfect, or effectively lose or withdraw, the holder’s right to appraisal if no petition for appraisal is filed within one hundred twenty (120) days after the effective time, if neither of the ownership thresholds described above is met or if the Synaptics stockholder or beneficial owner of Synaptics common stock properly delivers to the Surviving Corporation a written withdrawal of the holder’s or beneficial owner’s demand for appraisal and an acceptance of the Merger Consideration in accordance with Section 262.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no Synaptics stockholder or beneficial owner of Synaptics common stock who has demanded appraisal rights will be entitled to vote such shares of Synaptics common stock for any purpose or to receive payment of dividends or other distributions on the stock, except dividends or other distributions on the holder’s shares of Synaptics common stock, if any, payable to Synaptics stockholders as of a time prior to the effective time. If no petition for an appraisal is filed, if neither of the ownership thresholds described above is met, or if the Synaptics stockholder or beneficial owner of Synaptics common stock delivers to the Surviving Corporation a written withdrawal of the demand for an appraisal and an acceptance of the Merger, either within sixty (60) days after the effective time or thereafter with the written approval of the Surviving Corporation, then the right of such Synaptics stockholder or beneficial owner of Synaptics common stock to an appraisal will cease. Once a petition for appraisal is filed with the Delaware Court of Chancery, however, the appraisal proceeding may not be dismissed as to any Synaptics stockholder or beneficial owner of Synaptics common stock without the approval of the court, and such approval may be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79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2" w:name="ny20081083x2_defm14a_113-merger_pg50"/>
        <w:bookmarkEnd w:id="13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conditioned upon such terms as the court deems just;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however</w:t>
      </w:r>
      <w:r>
        <w:rPr>
          <w:rFonts w:ascii="Times New Roman;Times;serif" w:hAnsi="Times New Roman;Times;serif"/>
          <w:color w:val="000000"/>
          <w:sz w:val="20"/>
        </w:rPr>
        <w:t xml:space="preserve">, that the foregoing will not affect the right of any Synaptics stockholder or beneficial owner of Synaptics common stock who has not commenced an appraisal proceeding or joined that proceeding as a named party to withdraw such Synaptics stockholder’s or beneficial owner of Synaptics common stock’s demand for appraisal and to accept the terms offered upon the Merger within sixty (60) days after the effective time.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SYNAPTICS STOCKHOLDERS WHO VOTE SHARES IN FAVOR OF THE ADOPTION OF THE MERGER AGREEMENT AND BENEFICIAL OWNERS OF SHARES OF SYNAPTICS COMMON STOCK WHO INSTRUCT SUCH PERSONS’ BROKERS, BANKS OR OTHER NOMINEES TO VOTE SUCH PERSONS’ SHARES IN FAVOR OF THE ADOPTION OF THE MERGER AGREEMENT WILL NOT BE ENTITLED TO EXERCISE APPRAISAL RIGHTS WITH RESPECT THERETO BUT, RATHER, WILL RECEIVE THE 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Failure to comply strictly with all of the procedures set forth in Section 262 may result in the loss of a Synaptics stockholder’s statutory appraisal rights. Consequently, any Synaptics stockholder or beneficial owner of Synaptics common stock wishing to exercise appraisal rights is encouraged to consult legal counsel and financial advisors before attempting to exercise those rights.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Synaptics Equity Awards </w:t>
      </w:r>
    </w:p>
    <w:p>
      <w:pPr>
        <w:pStyle w:val="TextBody"/>
        <w:bidi w:val="0"/>
        <w:spacing w:before="120" w:after="283"/>
        <w:ind w:left="0" w:right="0" w:firstLine="400"/>
        <w:jc w:val="both"/>
        <w:rPr/>
      </w:pPr>
      <w:r>
        <w:rPr>
          <w:rFonts w:ascii="Times New Roman;Times;serif" w:hAnsi="Times New Roman;Times;serif"/>
          <w:color w:val="000000"/>
          <w:sz w:val="20"/>
        </w:rPr>
        <w:t xml:space="preserve">At the effective time, outstanding Synaptics RSUs, Synaptics PSUs and Synaptics MSUs, will be treated as described below and in more detail under “The Merger Agreement—Treatment of Synaptics Equity Awards” beginning on page </w:t>
      </w:r>
      <w:hyperlink w:anchor="tTSE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outstanding and not vested immediately prior to the effective time and that is held by an individual who, immediately after the effective time, is an employee of onsemi within the meaning of Form S-8, will generally be assumed by onsemi and converted into a corresponding award denominated in shares of onsemi common stock (with Synaptics RSUs and Synaptics MSUs converted into restricted stock unit awards and Synaptics PSUs converted into performance-based stock unit awards), covering a number of shares of onsemi common stock determined by multiplying the number of shares of Synaptics common stock subject to the award by the Conversion Ratio (rounded to the nearest whole share) and otherwise subject to the same terms and conditions (including time-based vesting conditions) as applied to the award immediately prior to the effective time. For Synaptics PSUs, any performance conditions for a performance period that has not yet closed will be deemed satisfied at target level, and the converted award will remain subject to the applicable time-based vesting conditions. For Synaptics MSU Awards, the number of shares subject to the converted award will be determined based on actual performance of the applicable performance conditions as of immediately prior to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RSU, Synaptics PSU and Synaptics MSU that is (i) vested but not yet settled as of immediately prior to the effective time, (ii) by its terms becomes vested in connection with the closing or (iii) held by a non-employee member of the Synaptics board as of immediately prior to the effective time will generally be cancelled and converted into the right to receive an amount of Merger Consideration based on the number of shares of Synaptics common stock subject to the award, after giving effect to any accumulated dividend equivalent rights (with performance-based awards measured as described above), and subject to applicable tax withholding.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reserve for issuance a sufficient number of shares of onsemi common stock for delivery in respect of the assumed and converted Synaptics equity awards and will file a registration statement on Form S-8 (or another appropriate form) relating to those shares. </w:t>
      </w:r>
    </w:p>
    <w:p>
      <w:pPr>
        <w:pStyle w:val="TextBody"/>
        <w:bidi w:val="0"/>
        <w:spacing w:before="120" w:after="283"/>
        <w:ind w:left="0" w:right="0" w:firstLine="400"/>
        <w:jc w:val="both"/>
        <w:rPr/>
      </w:pPr>
      <w:r>
        <w:rPr>
          <w:rFonts w:ascii="Times New Roman;Times;serif" w:hAnsi="Times New Roman;Times;serif"/>
          <w:color w:val="000000"/>
          <w:sz w:val="20"/>
        </w:rPr>
        <w:t xml:space="preserve">For a more detailed description of the treatment of Synaptics equity awards, including the treatment of awards held by non-U.S. grantees, see “The Merger Agreement—Treatment of Synaptics Equity Awards” beginning on page </w:t>
      </w:r>
      <w:hyperlink w:anchor="tTSEA">
        <w:r>
          <w:rPr>
            <w:rStyle w:val="InternetLink"/>
            <w:rFonts w:ascii="Times New Roman;Times;serif" w:hAnsi="Times New Roman;Times;serif"/>
            <w:color w:val="000080"/>
            <w:sz w:val="20"/>
          </w:rPr>
          <w:t>85</w:t>
        </w:r>
      </w:hyperlink>
      <w:r>
        <w:rPr>
          <w:rFonts w:ascii="Times New Roman;Times;serif" w:hAnsi="Times New Roman;Times;serif"/>
          <w:color w:val="000000"/>
          <w:sz w:val="20"/>
        </w:rPr>
        <w:t xml:space="preserve"> of this proxy statement. </w:t>
      </w:r>
    </w:p>
    <w:p>
      <w:pPr>
        <w:pStyle w:val="TextBody"/>
        <w:bidi w:val="0"/>
        <w:spacing w:before="29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receipt of cash by Synaptics stockholders in exchange for shares of Synaptics common stock will be a taxable transaction for U.S. federal income tax purposes. Accordingly, such receipt of cash by each Synaptics stockholder that is a U.S. holder (as defined under the section, “U.S. Federal Income Tax Consequences of the Merger”) generally will result in the recognition of gain or loss in an amount equal to the difference, if any, between the amount of cash that such U.S. holder receives in the Merger and such U.S. holder’s adjusted tax basis in the shares of Synaptics common stock surrendered pursuant to the Merger by such Synaptics stockholder.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3" w:name="ny20081083x2_defm14a_113-merger_pg51"/>
        <w:bookmarkEnd w:id="13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pPr>
      <w:r>
        <w:rPr>
          <w:rFonts w:ascii="Times New Roman;Times;serif" w:hAnsi="Times New Roman;Times;serif"/>
          <w:color w:val="000000"/>
          <w:sz w:val="20"/>
        </w:rPr>
        <w:t xml:space="preserve">The U.S. federal income tax consequences of the Merger to U.S. holders are discussed in more detail in the section titled “U.S. Federal Income Tax Consequences of the Merger” beginning on page </w:t>
      </w:r>
      <w:hyperlink w:anchor="tUSF">
        <w:r>
          <w:rPr>
            <w:rStyle w:val="InternetLink"/>
            <w:rFonts w:ascii="Times New Roman;Times;serif" w:hAnsi="Times New Roman;Times;serif"/>
            <w:color w:val="000080"/>
            <w:sz w:val="20"/>
          </w:rPr>
          <w:t>107</w:t>
        </w:r>
      </w:hyperlink>
      <w:r>
        <w:rPr>
          <w:rFonts w:ascii="Times New Roman;Times;serif" w:hAnsi="Times New Roman;Times;serif"/>
          <w:color w:val="000000"/>
          <w:sz w:val="20"/>
        </w:rPr>
        <w:t xml:space="preserve"> of this proxy statement. The discussion of the U.S. federal income tax consequences contained in this proxy statement is intended to provide only a general discussion and is not a complete analysis or description of all potential U.S. federal income tax consequences of the Merger. Such consequences may vary with, or be dependent on, individual circumstances. In addition, it does not address the effects of any foreign, state or local tax laws or any U.S. federal tax laws other than U.S. federal income tax laws.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TAX MATTERS ARE COMPLICATED AND THE TAX CONSEQUENCES OF THE MERGER WILL DEPEND ON THE FACTS OF YOUR OWN SITUATION. YOU ARE URGED TO CONSULT YOUR OWN TAX ADVISOR AS TO THE SPECIFIC TAX CONSEQUENCES OF THE MERGER TO YOU IN YOUR PARTICULAR CIRCUMSTANCES. </w:t>
      </w:r>
    </w:p>
    <w:p>
      <w:pPr>
        <w:pStyle w:val="TextBody"/>
        <w:bidi w:val="0"/>
        <w:spacing w:before="350" w:after="283"/>
        <w:ind w:left="0" w:right="0" w:hanging="0"/>
        <w:jc w:val="left"/>
        <w:rPr>
          <w:rFonts w:ascii="Times New Roman;Times;serif" w:hAnsi="Times New Roman;Times;serif"/>
          <w:b/>
          <w:i/>
          <w:color w:val="000000"/>
          <w:sz w:val="20"/>
        </w:rPr>
      </w:pPr>
      <w:bookmarkStart w:id="134" w:name="tTMTS"/>
      <w:bookmarkEnd w:id="134"/>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Synaptics is required to use reasonable best efforts to take any actions that may be required under its existing indentures and related capped call transactions prior to the effective time and to provide 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 governing the Synaptics Convertible Notes, Synaptics will enter into a supplemental indenture providing that the Merger Consideration will constitute “Reference Property” into which the Synaptics Convertible Notes will be convertible. </w:t>
      </w:r>
    </w:p>
    <w:p>
      <w:pPr>
        <w:pStyle w:val="TextBody"/>
        <w:bidi w:val="0"/>
        <w:spacing w:before="350" w:after="283"/>
        <w:ind w:left="0" w:right="0" w:hanging="0"/>
        <w:jc w:val="left"/>
        <w:rPr>
          <w:rFonts w:ascii="Times New Roman;Times;serif" w:hAnsi="Times New Roman;Times;serif"/>
          <w:b/>
          <w:i/>
          <w:color w:val="000000"/>
          <w:sz w:val="20"/>
        </w:rPr>
      </w:pPr>
      <w:bookmarkStart w:id="135" w:name="tPFS1"/>
      <w:bookmarkEnd w:id="135"/>
      <w:r>
        <w:rPr>
          <w:rFonts w:ascii="Times New Roman;Times;serif" w:hAnsi="Times New Roman;Times;serif"/>
          <w:b/>
          <w:i/>
          <w:color w:val="000000"/>
          <w:sz w:val="20"/>
        </w:rPr>
        <w:t xml:space="preserve">Procedures for Surrendering Synaptics Stock Certificates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Prior to the closing, onsemi will select onsemi’s transfer agent or, after consultation with Synaptics, another reputable bank or trust company reasonably satisfactory to onsemi and Synaptics, to act as exchange agent in the Merger for the payment and delivery of the aggregate Merger Consideration. At or prior to the effective time, onsemi will cause to be deposited with the exchange agent cash in the amount sufficient to pay the aggregate Merger Consideration pursuant to the Merger Agreement. Within five business days following the effective time, onsemi will cause the exchange agent to mail to the record holders of certificates representing Synaptics common stock (i) a letter of transmittal in customary form containing such provisions as onsemi and Synaptics may reasonably specify (including a provision that delivery of certificates shall be effected, and risk of loss and title to shares of Synaptics common stock shall pass, only upon delivery of such certificates to the exchange agent) and (ii) instructions for use in effecting the surrender of such certificates in exchange for the Merger Consideration. Upon surrender of such certificate to the exchange agent for exchange, together with a duly executed letter of transmittal, and such other documents as may be reasonably required by the exchange agent or onsemi, onsemi will cause the exchange agent to pay and deliver as promptly as practicable after the effective time the Merger Consideration for each share of Synaptics common stock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6" w:name="ny20081083x2_defm14a_113-merger_pg52"/>
        <w:bookmarkEnd w:id="13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formerly represented by such certificate (less any applicable withholding taxes) and the certificate surrendered will be thereafter cancelled. At the effective time, each certificate formerly representing any share of Synaptics common stock and each uncertificated share of Synaptics common stock will cease to be outstanding and will represent only the right to receive the applicable Merger Consideration pursuant to the Merger Agreement.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Deregistration of Shares of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is completed, shares of Synaptics common stock will no longer be listed on Nasdaq and will be deregistered under the Exchange Act.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37" w:name="ny20081083x2_defm14a_114-agreement_pg1"/>
        <w:bookmarkEnd w:id="13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38" w:name="tTMA"/>
      <w:bookmarkEnd w:id="138"/>
      <w:r>
        <w:rPr>
          <w:rFonts w:ascii="Times New Roman;Times;serif" w:hAnsi="Times New Roman;Times;serif"/>
          <w:b/>
          <w:color w:val="000000"/>
          <w:sz w:val="20"/>
        </w:rPr>
        <w:t xml:space="preserve">THE MERGER AGREEMENT </w:t>
      </w:r>
    </w:p>
    <w:p>
      <w:pPr>
        <w:pStyle w:val="TextBody"/>
        <w:bidi w:val="0"/>
        <w:spacing w:before="120" w:after="283"/>
        <w:ind w:left="0" w:right="0" w:firstLine="400"/>
        <w:jc w:val="both"/>
        <w:rPr>
          <w:rFonts w:ascii="Times New Roman;Times;serif" w:hAnsi="Times New Roman;Times;serif"/>
          <w:i/>
          <w:color w:val="000000"/>
          <w:sz w:val="20"/>
        </w:rPr>
      </w:pPr>
      <w:r>
        <w:rPr>
          <w:rFonts w:ascii="Times New Roman;Times;serif" w:hAnsi="Times New Roman;Times;serif"/>
          <w:i/>
          <w:color w:val="000000"/>
          <w:sz w:val="20"/>
        </w:rPr>
        <w:t xml:space="preserve">The following is a summary of the material terms and conditions of the Merger Agreement. This summary may not contain all the information about the Merger Agreement that is important to you. This summary set forth below and elsewhere in this proxy statement is qualified in its entirety by reference to the Amended and Restated Agreement and Plan of Merger, dated October 1, 2026, which is attached as </w:t>
      </w:r>
      <w:r>
        <w:rPr>
          <w:rFonts w:ascii="Times New Roman;Times;serif" w:hAnsi="Times New Roman;Times;serif"/>
          <w:i/>
          <w:color w:val="000000"/>
          <w:sz w:val="20"/>
          <w:u w:val="single"/>
        </w:rPr>
        <w:t>Annex A</w:t>
      </w:r>
      <w:r>
        <w:rPr>
          <w:rFonts w:ascii="Times New Roman;Times;serif" w:hAnsi="Times New Roman;Times;serif"/>
          <w:i/>
          <w:color w:val="000000"/>
          <w:sz w:val="20"/>
        </w:rPr>
        <w:t xml:space="preserve"> to, and incorporated by reference into, this proxy statement. You are encouraged to read the Merger Agreement in its entirety because it is the legal document that governs the Merger and the rights and obligations of the parties to the Merger Agreement are governed by the express terms of the Merger Agreement, and not by this summary or any other information contained in this proxy statement.</w:t>
      </w:r>
      <w:r>
        <w:rPr>
          <w:rFonts w:ascii="Times New Roman;Times;serif" w:hAnsi="Times New Roman;Times;serif"/>
          <w:i/>
          <w:caps w:val="false"/>
          <w:smallCaps w:val="false"/>
          <w:color w:val="000000"/>
          <w:sz w:val="20"/>
        </w:rPr>
        <w:t xml:space="preserve"> </w:t>
      </w:r>
    </w:p>
    <w:p>
      <w:pPr>
        <w:pStyle w:val="TextBody"/>
        <w:bidi w:val="0"/>
        <w:spacing w:before="120" w:after="283"/>
        <w:ind w:left="0" w:right="0" w:firstLine="400"/>
        <w:jc w:val="both"/>
        <w:rPr/>
      </w:pPr>
      <w:r>
        <w:rPr>
          <w:rFonts w:ascii="Times New Roman;Times;serif" w:hAnsi="Times New Roman;Times;serif"/>
          <w:color w:val="000000"/>
          <w:sz w:val="20"/>
        </w:rPr>
        <w:t>The representations, warranties, covenants, and agreements described below and included in the Merger Agreement were made only for purposes of the Merger Agreement as of specific dates, were solely for the benefit of the parties to the Merger Agreement (except as otherwise specified therein), and may be subject to important qualifications, limitations, and supplemental information agreed to by onsemi, Merger Sub, and Synaptics in connection with negotiating the terms of the Merger Agreement, including being qualified by reference to confidential disclosures. In particular, in your review of the representations and warranties contained in the Merger Agreement and described in this summary, it is important to bear in mind that the representations and warranties were negotiated with the principal purpose of establishing circumstances in which a party to the Merger Agreement may have the right not to consummate the Merger if the representations and warranties of the other party prove to be untrue due to a change in circumstance or otherwise, and allocating risk between the parties to the Merger Agreement, rather than establishing matters as facts. The representations and warranties may also be subject to a contractual standard of materiality or material adverse effect different from those generally applicable to stockholders and reports and documents filed with the SEC. Except for the right of Synaptics stockholders to receive the Merger Consideration (as applicable), investors and security holders (in their capacities as such) are not third-party beneficiaries under the Merger Agreement and should not rely on the representations, warranties, covenants, and agreements or any descriptions thereof as characterizations of the actual state of facts or condition of onsemi, Merger Sub, and Synaptics or any of their respective affiliates or businesses. Moreover, information concerning the subject matter of the representations and warranties may change after the date of the Merger Agreement, and the representations and warranties in the Merger Agreement do not purport to be accurate as of the date of this proxy statement. In addition, you should not rely on the covenants and agreements in the Merger Agreement as actual limitations on the respective businesses of onsemi, Merger Sub, and Synaptics because the parties to the Merger Agreement may take certain actions that are either expressly permitted in the confidential disclosure schedules to the Merger Agreement or as otherwise consented to by the appropriate party, which consent may be given without prior notice to the public. The Merger Agreement is described below, and included as Annex A to this proxy statement, only to provide you with information regarding its terms and conditions and not to provide any other factual information regarding onsemi, Merger Sub, and Synaptics or their respective businesses. Accordingly, the representations, warranties, covenants and other agreements in the Merger Agreement should not be read alone or relied upon as characterizations of the actual state of facts or conditions of Synaptics, onsemi, Merger Sub or any of their respective subsidiaries or affiliates, and you should carefully read the information provided elsewhere in this document and in the filings that each of onsemi and Synaptics has made or will make with the SEC in their entirety. See the section titled “Where You Can Find More Information” beginning on page </w:t>
      </w:r>
      <w:hyperlink w:anchor="tWYC">
        <w:r>
          <w:rPr>
            <w:rStyle w:val="InternetLink"/>
            <w:rFonts w:ascii="Times New Roman;Times;serif" w:hAnsi="Times New Roman;Times;serif"/>
            <w:color w:val="000080"/>
            <w:sz w:val="20"/>
          </w:rPr>
          <w:t>122</w:t>
        </w:r>
      </w:hyperlink>
      <w:r>
        <w:rPr>
          <w:rFonts w:ascii="Times New Roman;Times;serif" w:hAnsi="Times New Roman;Times;serif"/>
          <w:color w:val="000000"/>
          <w:sz w:val="20"/>
        </w:rPr>
        <w:t xml:space="preserve"> of this proxy statement. </w:t>
      </w:r>
    </w:p>
    <w:p>
      <w:pPr>
        <w:pStyle w:val="TextBody"/>
        <w:bidi w:val="0"/>
        <w:spacing w:before="250" w:after="283"/>
        <w:ind w:left="0" w:right="0" w:hanging="0"/>
        <w:jc w:val="left"/>
        <w:rPr>
          <w:rFonts w:ascii="Times New Roman;Times;serif" w:hAnsi="Times New Roman;Times;serif"/>
          <w:b/>
          <w:i/>
          <w:color w:val="000000"/>
          <w:sz w:val="20"/>
        </w:rPr>
      </w:pPr>
      <w:bookmarkStart w:id="139" w:name="tATM"/>
      <w:bookmarkEnd w:id="139"/>
      <w:r>
        <w:rPr>
          <w:rFonts w:ascii="Times New Roman;Times;serif" w:hAnsi="Times New Roman;Times;serif"/>
          <w:b/>
          <w:i/>
          <w:color w:val="000000"/>
          <w:sz w:val="20"/>
        </w:rPr>
        <w:t xml:space="preserve">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October 1, 2026, onsemi, Merger Sub and Synaptics entered into the Merger Agreement. Upon the terms and subject to the conditions set forth in the Merger Agreement, at the effective time, Merger Sub will be merged with and into Synaptics in accordance with the DGCL, whereupon the separate corporate existence of Merger Sub will cease, and Synaptics will continue as the Surviving Corporation in the Merger and a wholly owned subsidiary of onsemi. The Merger will have the effects set forth in the Merger Agreement and the applicable provisions of the DGCL.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Charter and Bylaws; Directors and Officers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the certificate of incorporation of Synaptics in effect immediately prior to the effective time will be amended and restated in its entirety to be in the form attached as Exhibit B to the Merger Agreement, except that the name of the Surviving Corporation will be “Synaptics Incorporated”. In addition, subject to the indemnification obligations under the Merger Agreement, the bylaws of Merger Sub in effect immediately prior to the effective time will be the bylaws of the Surviving Corporation, until thereafter amended in accordance with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until their respective successors are duly elected or appointed and qualified in accordance with applicable law and the Surviving Corporation’s organizational documents, the directors of Merger Sub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0" w:name="ny20081083x2_defm14a_114-agreement_pg2"/>
        <w:bookmarkEnd w:id="14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immediately prior to the effective time will be the directors of the Surviving Corporation, and the officers of Merger Sub immediately prior to the effective time will be the officers of the Surviving Corporation. </w:t>
      </w:r>
    </w:p>
    <w:p>
      <w:pPr>
        <w:pStyle w:val="TextBody"/>
        <w:bidi w:val="0"/>
        <w:spacing w:before="26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Closing </w:t>
      </w:r>
    </w:p>
    <w:p>
      <w:pPr>
        <w:pStyle w:val="TextBody"/>
        <w:bidi w:val="0"/>
        <w:spacing w:before="120" w:after="283"/>
        <w:ind w:left="0" w:right="0" w:firstLine="400"/>
        <w:jc w:val="both"/>
        <w:rPr/>
      </w:pPr>
      <w:r>
        <w:rPr>
          <w:rFonts w:ascii="Times New Roman;Times;serif" w:hAnsi="Times New Roman;Times;serif"/>
          <w:color w:val="000000"/>
          <w:sz w:val="20"/>
        </w:rPr>
        <w:t xml:space="preserve">Unless another time, date or place is agreed to in writing by onsemi and Synaptics, the closing of the Merger will take place at the offices of Baker &amp; McKenzie LLP in Palo Alto, California, or remotely by the exchange of documents and signatures (or their electronic counterparts), on a date to be designated jointly by onsemi and Synaptics, which will be no later than the fifth business day after the satisfaction or, to the extent permitted under the Merger Agreement and applicable law, waiver of the last to be satisfied or waived of all of the conditions to the parties’ respective obligations to effect the Merger (other than those conditions that by their nature are to be satisfied at the closing, but subject to the satisfaction or waiver of each such condition at the closing), unless another time or date is agreed to in writing by onsemi and Synaptics. These conditions are described below under “—Conditions to the Merger” beginning on page </w:t>
      </w:r>
      <w:hyperlink w:anchor="tCMA">
        <w:r>
          <w:rPr>
            <w:rStyle w:val="InternetLink"/>
            <w:rFonts w:ascii="Times New Roman;Times;serif" w:hAnsi="Times New Roman;Times;serif"/>
            <w:color w:val="000080"/>
            <w:sz w:val="20"/>
          </w:rPr>
          <w:t>103</w:t>
        </w:r>
      </w:hyperlink>
      <w:r>
        <w:rPr>
          <w:rFonts w:ascii="Times New Roman;Times;serif" w:hAnsi="Times New Roman;Times;serif"/>
          <w:color w:val="000000"/>
          <w:sz w:val="20"/>
        </w:rPr>
        <w:t xml:space="preserve"> of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provisions of the Merger Agreement, at the closing, the parties will cause the Merger to be consummated by filing a certificate of merger in requisite and customary form and substance with the Secretary of State of the State of Delaware, and by making all other filings or recordings required by the DGCL in connection with effecting the Merger. The Merger will become effective at the time the certificate of merger is filed with the Secretary of State of the State of Delaware, or at such later time as onsemi and Synaptics may mutually agree in writing and specify in the certificate of merger. </w:t>
      </w:r>
    </w:p>
    <w:p>
      <w:pPr>
        <w:pStyle w:val="TextBody"/>
        <w:bidi w:val="0"/>
        <w:spacing w:before="260" w:after="283"/>
        <w:ind w:left="0" w:right="0" w:hanging="0"/>
        <w:jc w:val="left"/>
        <w:rPr>
          <w:rFonts w:ascii="Times New Roman;Times;serif" w:hAnsi="Times New Roman;Times;serif"/>
          <w:b/>
          <w:i/>
          <w:color w:val="000000"/>
          <w:sz w:val="20"/>
        </w:rPr>
      </w:pPr>
      <w:bookmarkStart w:id="141" w:name="tMCA"/>
      <w:bookmarkEnd w:id="141"/>
      <w:r>
        <w:rPr>
          <w:rFonts w:ascii="Times New Roman;Times;serif" w:hAnsi="Times New Roman;Times;serif"/>
          <w:b/>
          <w:i/>
          <w:color w:val="000000"/>
          <w:sz w:val="20"/>
        </w:rPr>
        <w:t xml:space="preserve">Merger Consideration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each share of Synaptics common stock issued and outstanding immediately prior to the effective time (other than the cancelled shares and any dissenting shares, as described below under “—Effect on Synaptics common stock”) will be converted into the right to receive $123.00 per share in cash, without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anything in the Merger Agreement to the contrary, if, during the period from the date of the Merger Agreement through the effective time, the outstanding shares of Synaptics common stock are changed or converted into a different number or class or series of shares by reason of any stock split, division, combination, exchange or subdivision of shares, stock dividend (including any dividend or distribution of securities convertible into Synaptics common stock), reverse stock split, consolidation of shares, reorganization, reclassification, recapitalization or other similar transaction or similar change, or a record date with respect to any such event occurs during such period, then the Merger Consideration (including the Conversion Ratio) and any other similarly dependent items, as the case may be, will be adjusted, without duplication, to the extent appropriate to provide the same economic effect as contemplated by the Merger Agreement prior to such 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onsemi, the exchange agent, Merger Sub, Synaptics, and the Surviving Corporation, as applicable, will be entitled to deduct and withhold from any amounts otherwise payable pursuant to the Merger Agreement any amounts that are required to be deducted and withheld with respect to the making of such payment under the Code or any other applicable law relating to taxes. To the extent that amounts are so deducted or withheld and, if required, paid over to the appropriate governmental entity, such amounts will be treated for all purposes of the Merger Agreement as having been paid to the person in respect of which such deduction and withholding were made. </w:t>
      </w:r>
    </w:p>
    <w:p>
      <w:pPr>
        <w:pStyle w:val="TextBody"/>
        <w:bidi w:val="0"/>
        <w:spacing w:before="250" w:after="283"/>
        <w:ind w:left="0" w:right="0" w:hanging="0"/>
        <w:jc w:val="left"/>
        <w:rPr>
          <w:rFonts w:ascii="Times New Roman;Times;serif" w:hAnsi="Times New Roman;Times;serif"/>
          <w:b/>
          <w:i/>
          <w:color w:val="000000"/>
          <w:sz w:val="20"/>
        </w:rPr>
      </w:pPr>
      <w:bookmarkStart w:id="142" w:name="tESCS"/>
      <w:bookmarkEnd w:id="142"/>
      <w:r>
        <w:rPr>
          <w:rFonts w:ascii="Times New Roman;Times;serif" w:hAnsi="Times New Roman;Times;serif"/>
          <w:b/>
          <w:i/>
          <w:color w:val="000000"/>
          <w:sz w:val="20"/>
        </w:rPr>
        <w:t xml:space="preserve">Effect on Synaptics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and conditions set forth in the Merger Agreement, at the effective time, automatically, by virtue of the Merger and without any further action on the part of onsemi, Merger Sub, Synaptics or any Synaptics stockholder, each share of Synaptics common stock issued and outstanding immediately prior to the effective time (other than the cancelled shares and any dissenting shares described below) will be converted into the right to receive $123.00 per share in cash, without interest.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Subject to the terms and conditions set forth in the Merger Agreement, at the effective time, automatically and without any further action on the part of onsemi, Merger Sub, Synaptics or any Synaptics stockholder, each share of Synaptics common stock issued and outstanding immediately prior to the effective time that is owned or held in Synaptics’ treasury or by any Synaptics subsidiary, and each share of Synaptics common stock owned by onsemi, any onsemi subsidiary or Merger Sub immediately prior to the effective time, will be cancelled and will cease to exist, and no consideration will be paid or payable in respect of those shares.</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3" w:name="ny20081083x2_defm14a_114-agreement_pg3"/>
        <w:bookmarkEnd w:id="14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Dissenting shares will not be converted into the right to receive the Merger Consideration. At the effective time, the dissenting shares will be cancelled and cease to exist, and the holder will cease to have any rights with respect to those shares except the rights granted under the DGCL. If the holder fails to perfect, withdraws or otherwise loses appraisal rights, the shares will be treated as if they had been converted at the effective time into the right to receive the Merger Consideration, without interest, upon compliance with the applicable surrender procedures.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At the effective time, automatically and by virtue of the Merger, each issued and outstanding share of common stock of Merger Sub will be converted into and become one fully paid and non-assessable share of common stock of the Surviving Corporation, and those shares will constitute the only outstanding shares of capital stock of the Surviving Corporation.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From and after the effective time, all holders of shares of Synaptics common stock (including Synaptics stock certificates and Synaptics book-entry shares) will cease to have any rights as Synaptics stockholders, other than the right to receive the Merger Consideration into which their shares were converted (or, in the case of dissenting shares, the rights provided under Section 262 of the DGCL), without interest, upon surrender of their shares. At the effective time, the stock transfer books of Synaptics will be closed with respect to all shares of Synaptics common stock outstanding immediately prior to the effective time, and there will be no further registration of transfers of such shares thereafter.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Dissenting Shares </w:t>
      </w:r>
    </w:p>
    <w:p>
      <w:pPr>
        <w:pStyle w:val="TextBody"/>
        <w:bidi w:val="0"/>
        <w:spacing w:before="120" w:after="283"/>
        <w:ind w:left="0" w:right="0" w:firstLine="400"/>
        <w:jc w:val="both"/>
        <w:rPr/>
      </w:pPr>
      <w:r>
        <w:rPr>
          <w:rFonts w:ascii="Times New Roman;Times;serif" w:hAnsi="Times New Roman;Times;serif"/>
          <w:color w:val="000000"/>
          <w:sz w:val="20"/>
        </w:rPr>
        <w:t xml:space="preserve">Notwithstanding anything in the Merger Agreement to the contrary, subject to their compliance with the procedures set forth in Section 262 of the DGCL, dissenting shares will not be converted into the right to receive the Merger Consideration, but will instead be entitled to the rights provided under Section 262 of the DGCL at the effective time, subject to the holder’s failure to perfect, withdrawal or loss of appraisal rights, in which case the shares will be treated as if converted into the right to receive the Merger Consideration. See “The Merger—Appraisal Rights” beginning on page </w:t>
      </w:r>
      <w:hyperlink w:anchor="tMND">
        <w:r>
          <w:rPr>
            <w:rStyle w:val="InternetLink"/>
            <w:rFonts w:ascii="Times New Roman;Times;serif" w:hAnsi="Times New Roman;Times;serif"/>
            <w:color w:val="000080"/>
            <w:sz w:val="20"/>
          </w:rPr>
          <w:t>74</w:t>
        </w:r>
      </w:hyperlink>
      <w:r>
        <w:rPr>
          <w:rFonts w:ascii="Times New Roman;Times;serif" w:hAnsi="Times New Roman;Times;serif"/>
          <w:color w:val="000000"/>
          <w:sz w:val="20"/>
        </w:rPr>
        <w:t xml:space="preserve"> of this proxy statement. </w:t>
      </w:r>
    </w:p>
    <w:p>
      <w:pPr>
        <w:pStyle w:val="TextBody"/>
        <w:bidi w:val="0"/>
        <w:spacing w:before="300" w:after="283"/>
        <w:ind w:left="0" w:right="0" w:hanging="0"/>
        <w:jc w:val="left"/>
        <w:rPr>
          <w:rFonts w:ascii="Times New Roman;Times;serif" w:hAnsi="Times New Roman;Times;serif"/>
          <w:b/>
          <w:i/>
          <w:color w:val="000000"/>
          <w:sz w:val="20"/>
        </w:rPr>
      </w:pPr>
      <w:bookmarkStart w:id="144" w:name="tTSEA"/>
      <w:bookmarkEnd w:id="144"/>
      <w:r>
        <w:rPr>
          <w:rFonts w:ascii="Times New Roman;Times;serif" w:hAnsi="Times New Roman;Times;serif"/>
          <w:b/>
          <w:i/>
          <w:color w:val="000000"/>
          <w:sz w:val="20"/>
        </w:rPr>
        <w:t xml:space="preserve">Treatment of Synaptics Equity Awards </w:t>
      </w:r>
    </w:p>
    <w:p>
      <w:pPr>
        <w:pStyle w:val="TextBody"/>
        <w:bidi w:val="0"/>
        <w:spacing w:before="1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(x) the number of shares of Synaptics common stock underlying such Synaptics RSU and (y)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Synaptics board immediately prior to the effective time will be cancelled, and the former holder will have the right to receive a cash payment equal to the product of (x) the per share Merger Consideration and (y) the applicable number of shares of Synaptics common stock subject to such award and after giving effect to any accumulated dividend equivalent rights (subject to applicable tax withholding). </w:t>
      </w:r>
    </w:p>
    <w:p>
      <w:pPr>
        <w:pStyle w:val="TextBody"/>
        <w:bidi w:val="0"/>
        <w:spacing w:before="30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equal to the product, rounded to the nearest whole number, of the number of shares of Synaptics common stock underlying such Synaptics PSU multiplied by the Conversion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(x) the per share Merger Consideration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5" w:name="ny20081083x2_defm14a_114-agreement_pg4"/>
        <w:bookmarkEnd w:id="14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and (y) the applicable number of shares of Synaptics common stock subject to such award,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equal to the product, rounded to the nearest whole number, of the number of shares of Synaptics common stock underlying such Synaptics MSU (with such number determined based on actual performance of the performance conditions applicable to such Synaptics MSU as of immediately before the effective time) multiplied by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(x) the per share Merger Consideration and (y) the applicable number of shares of Synaptics common stock subject to such award, determined based on actual performance of the applicable performance conditions and after giving effect to any accumulated dividend equivalent rights (subject to applicable tax withholding).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Form S-8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take all corporate action necessary to reserve for issuance a sufficient number of shares of onsemi common stock for delivery with respect to the Synaptics equity awards assumed and converted as described above, and onsemi will file with the SEC, on the closing date, a registration statement on Form S-8 (or another appropriate form) relating to those shares, and will use its reasonable best efforts to cause that registration statement to remain in effect for so long as those assumed and converted Synaptics equity awards remain outstanding.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40" w:after="283"/>
        <w:ind w:left="0" w:right="0" w:hanging="0"/>
        <w:jc w:val="left"/>
        <w:rPr>
          <w:rFonts w:ascii="Times New Roman;Times;serif" w:hAnsi="Times New Roman;Times;serif"/>
          <w:b/>
          <w:i/>
          <w:color w:val="000000"/>
          <w:sz w:val="20"/>
        </w:rPr>
      </w:pPr>
      <w:bookmarkStart w:id="146" w:name="tTSI"/>
      <w:bookmarkEnd w:id="146"/>
      <w:r>
        <w:rPr>
          <w:rFonts w:ascii="Times New Roman;Times;serif" w:hAnsi="Times New Roman;Times;serif"/>
          <w:b/>
          <w:i/>
          <w:color w:val="000000"/>
          <w:sz w:val="20"/>
        </w:rPr>
        <w:t xml:space="preserve">Treatment of Synaptics’ Indebtedness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is required to use reasonable best efforts to take any actions that may be required under its existing indentures and related capped call transactions prior to the effective time and to provide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7" w:name="ny20081083x2_defm14a_114-agreement_pg5"/>
        <w:bookmarkEnd w:id="14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customary cooperation reasonably requested by onsemi in connection with the requirements of its indentures and capped call transactions in connection with the consummation of the Merger. In particular, at onsemi’s request and at onsemi’s sole cost and expense (including with respect to principal of and interest on the Synaptics Senior Notes, Synaptics is required to use reasonable best efforts to exercise its right to redeem, discharge, defease, or make an offer to repurchase the Synaptics Senior Notes in accordance with their terms, with any such redemption, discharge, defeasance, or repurchase to be effective at the effective time or such later time as onsemi may request. Synaptics is not required to pay or deposit any amounts needed to redeem, discharge, defease, or repurchase the Synaptics Senior Notes prior to the effective time, except to the extent such amounts and related expenses have been previously provided by onsemi. In addition, upon onsemi’s request, Synaptics is required to use reasonable best efforts to engage in discussions with each of the capped call dealer counterparties with respect to, and cooperate with onsemi to obtain the consent of each capped call dealer counterparty for, the termination, settlement, cancellation, adjustment, modification and/or payment (in each case in whole or in part) of, as applicable, at or as promptly as practicable following the effective time, the capped call transactions.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currently intends to cause Synaptics to redeem and/or discharge the Synaptics Senior Notes in connection with the Merger; however, this is not a requirement of the Merger Agreement and, accordingly, onsemi may change its intent or choose to take a different approach with respect to the Synaptics Senior Notes. This disclosure does not constitute a notice of redemption with respect to the Synaptics Senior Notes.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requires Synaptics to use its reasonable best efforts to deliver to onsemi (i) an executed payoff letter with respect to Synaptics’ existing $350 million senior secured revolving credit facility with Wells Fargo Bank, National Association and (ii) all related lien release documentation necessary to effect the release of any liens related to such senior secured revolving credit facility. At closing, as required under the existing indentures governing the convertible notes, Synaptics will enter into a supplemental indenture providing that the cash Merger Consideration will constitute “Reference Property” into which the convertible notes will be convertible.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customary representations and warranties made by Synaptics, onsemi and Merger Sub. </w:t>
      </w:r>
    </w:p>
    <w:p>
      <w:pPr>
        <w:pStyle w:val="TextBody"/>
        <w:bidi w:val="0"/>
        <w:spacing w:before="16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Synaptics in the Merger Agreement relate to, among other things: </w:t>
      </w:r>
    </w:p>
    <w:tbl>
      <w:tblPr>
        <w:tblW w:w="9670" w:type="dxa"/>
        <w:jc w:val="left"/>
        <w:tblInd w:w="0" w:type="dxa"/>
        <w:tblLayout w:type="fixed"/>
        <w:tblCellMar>
          <w:top w:w="0" w:type="dxa"/>
          <w:left w:w="0" w:type="dxa"/>
          <w:bottom w:w="0" w:type="dxa"/>
          <w:right w:w="0" w:type="dxa"/>
        </w:tblCellMar>
      </w:tblPr>
      <w:tblGrid>
        <w:gridCol w:w="110"/>
        <w:gridCol w:w="9560"/>
      </w:tblGrid>
      <w:tr>
        <w:trPr/>
        <w:tc>
          <w:tcPr>
            <w:tcW w:w="110" w:type="dxa"/>
            <w:tcBorders/>
            <w:vAlign w:val="center"/>
          </w:tcPr>
          <w:p>
            <w:pPr>
              <w:pStyle w:val="TableContents"/>
              <w:bidi w:val="0"/>
              <w:spacing w:before="0" w:after="0"/>
              <w:jc w:val="left"/>
              <w:rPr>
                <w:color w:val="000000"/>
              </w:rPr>
            </w:pPr>
            <w:r>
              <w:rPr>
                <w:color w:val="000000"/>
              </w:rPr>
              <w:t>•</w:t>
            </w:r>
          </w:p>
        </w:tc>
        <w:tc>
          <w:tcPr>
            <w:tcW w:w="956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due organization, valid existence, good standing and qualification to do business, and corporate power and authority;</w:t>
            </w:r>
          </w:p>
        </w:tc>
      </w:tr>
    </w:tbl>
    <w:tbl>
      <w:tblPr>
        <w:tblW w:w="1360" w:type="dxa"/>
        <w:jc w:val="left"/>
        <w:tblInd w:w="0" w:type="dxa"/>
        <w:tblLayout w:type="fixed"/>
        <w:tblCellMar>
          <w:top w:w="0" w:type="dxa"/>
          <w:left w:w="0" w:type="dxa"/>
          <w:bottom w:w="0" w:type="dxa"/>
          <w:right w:w="0" w:type="dxa"/>
        </w:tblCellMar>
      </w:tblPr>
      <w:tblGrid>
        <w:gridCol w:w="110"/>
        <w:gridCol w:w="1250"/>
      </w:tblGrid>
      <w:tr>
        <w:trPr/>
        <w:tc>
          <w:tcPr>
            <w:tcW w:w="110" w:type="dxa"/>
            <w:tcBorders/>
            <w:vAlign w:val="center"/>
          </w:tcPr>
          <w:p>
            <w:pPr>
              <w:pStyle w:val="TableContents"/>
              <w:bidi w:val="0"/>
              <w:spacing w:before="0" w:after="0"/>
              <w:jc w:val="left"/>
              <w:rPr>
                <w:color w:val="000000"/>
              </w:rPr>
            </w:pPr>
            <w:r>
              <w:rPr>
                <w:color w:val="000000"/>
              </w:rPr>
              <w:t>•</w:t>
            </w:r>
          </w:p>
        </w:tc>
        <w:tc>
          <w:tcPr>
            <w:tcW w:w="1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capitalization; </w:t>
            </w:r>
          </w:p>
        </w:tc>
      </w:tr>
    </w:tbl>
    <w:tbl>
      <w:tblPr>
        <w:tblW w:w="3580" w:type="dxa"/>
        <w:jc w:val="left"/>
        <w:tblInd w:w="0" w:type="dxa"/>
        <w:tblLayout w:type="fixed"/>
        <w:tblCellMar>
          <w:top w:w="0" w:type="dxa"/>
          <w:left w:w="0" w:type="dxa"/>
          <w:bottom w:w="0" w:type="dxa"/>
          <w:right w:w="0" w:type="dxa"/>
        </w:tblCellMar>
      </w:tblPr>
      <w:tblGrid>
        <w:gridCol w:w="110"/>
        <w:gridCol w:w="3470"/>
      </w:tblGrid>
      <w:tr>
        <w:trPr/>
        <w:tc>
          <w:tcPr>
            <w:tcW w:w="110" w:type="dxa"/>
            <w:tcBorders/>
            <w:vAlign w:val="center"/>
          </w:tcPr>
          <w:p>
            <w:pPr>
              <w:pStyle w:val="TableContents"/>
              <w:bidi w:val="0"/>
              <w:spacing w:before="0" w:after="0"/>
              <w:jc w:val="left"/>
              <w:rPr>
                <w:color w:val="000000"/>
              </w:rPr>
            </w:pPr>
            <w:r>
              <w:rPr>
                <w:color w:val="000000"/>
              </w:rPr>
              <w:t>•</w:t>
            </w:r>
          </w:p>
        </w:tc>
        <w:tc>
          <w:tcPr>
            <w:tcW w:w="347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organization and standing of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corporate power and authority to enter into the Merger Agreement, the valid and binding nature of the Merger Agreement, the required Synaptics stockholder vote to adopt the Merger Agreement, and approval by the Synaptics board;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and the non-creation of liens,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required governmental and other regulatory filings, consents and approvals in connection with the transactions contemplated by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SEC documents, financial statements, and internal controls and disclosure controls and procedures relating to financial reporting;</w:t>
            </w:r>
          </w:p>
        </w:tc>
      </w:tr>
    </w:tbl>
    <w:tbl>
      <w:tblPr>
        <w:tblW w:w="3190" w:type="dxa"/>
        <w:jc w:val="left"/>
        <w:tblInd w:w="0" w:type="dxa"/>
        <w:tblLayout w:type="fixed"/>
        <w:tblCellMar>
          <w:top w:w="0" w:type="dxa"/>
          <w:left w:w="0" w:type="dxa"/>
          <w:bottom w:w="0" w:type="dxa"/>
          <w:right w:w="0" w:type="dxa"/>
        </w:tblCellMar>
      </w:tblPr>
      <w:tblGrid>
        <w:gridCol w:w="110"/>
        <w:gridCol w:w="3080"/>
      </w:tblGrid>
      <w:tr>
        <w:trPr/>
        <w:tc>
          <w:tcPr>
            <w:tcW w:w="110" w:type="dxa"/>
            <w:tcBorders/>
            <w:vAlign w:val="center"/>
          </w:tcPr>
          <w:p>
            <w:pPr>
              <w:pStyle w:val="TableContents"/>
              <w:bidi w:val="0"/>
              <w:spacing w:before="0" w:after="0"/>
              <w:jc w:val="left"/>
              <w:rPr>
                <w:color w:val="000000"/>
              </w:rPr>
            </w:pPr>
            <w:r>
              <w:rPr>
                <w:color w:val="000000"/>
              </w:rPr>
              <w:t>•</w:t>
            </w:r>
          </w:p>
        </w:tc>
        <w:tc>
          <w:tcPr>
            <w:tcW w:w="30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the absence of undisclosed liabilities;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certain changes, including the absence of a Company Material Adverse Effect since the date of the most recent Synaptics balance sheet; </w:t>
            </w:r>
          </w:p>
        </w:tc>
      </w:tr>
    </w:tbl>
    <w:tbl>
      <w:tblPr>
        <w:tblW w:w="3430" w:type="dxa"/>
        <w:jc w:val="left"/>
        <w:tblInd w:w="0" w:type="dxa"/>
        <w:tblLayout w:type="fixed"/>
        <w:tblCellMar>
          <w:top w:w="0" w:type="dxa"/>
          <w:left w:w="0" w:type="dxa"/>
          <w:bottom w:w="0" w:type="dxa"/>
          <w:right w:w="0" w:type="dxa"/>
        </w:tblCellMar>
      </w:tblPr>
      <w:tblGrid>
        <w:gridCol w:w="110"/>
        <w:gridCol w:w="3320"/>
      </w:tblGrid>
      <w:tr>
        <w:trPr/>
        <w:tc>
          <w:tcPr>
            <w:tcW w:w="110" w:type="dxa"/>
            <w:tcBorders/>
            <w:vAlign w:val="center"/>
          </w:tcPr>
          <w:p>
            <w:pPr>
              <w:pStyle w:val="TableContents"/>
              <w:bidi w:val="0"/>
              <w:spacing w:before="0" w:after="0"/>
              <w:jc w:val="left"/>
              <w:rPr>
                <w:color w:val="000000"/>
              </w:rPr>
            </w:pPr>
            <w:r>
              <w:rPr>
                <w:color w:val="000000"/>
              </w:rPr>
              <w:t>•</w:t>
            </w:r>
          </w:p>
        </w:tc>
        <w:tc>
          <w:tcPr>
            <w:tcW w:w="33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intellectual property and related matters;</w:t>
            </w:r>
          </w:p>
        </w:tc>
      </w:tr>
    </w:tbl>
    <w:tbl>
      <w:tblPr>
        <w:tblW w:w="3310" w:type="dxa"/>
        <w:jc w:val="left"/>
        <w:tblInd w:w="0" w:type="dxa"/>
        <w:tblLayout w:type="fixed"/>
        <w:tblCellMar>
          <w:top w:w="0" w:type="dxa"/>
          <w:left w:w="0" w:type="dxa"/>
          <w:bottom w:w="0" w:type="dxa"/>
          <w:right w:w="0" w:type="dxa"/>
        </w:tblCellMar>
      </w:tblPr>
      <w:tblGrid>
        <w:gridCol w:w="110"/>
        <w:gridCol w:w="3200"/>
      </w:tblGrid>
      <w:tr>
        <w:trPr/>
        <w:tc>
          <w:tcPr>
            <w:tcW w:w="110" w:type="dxa"/>
            <w:tcBorders/>
            <w:vAlign w:val="center"/>
          </w:tcPr>
          <w:p>
            <w:pPr>
              <w:pStyle w:val="TableContents"/>
              <w:bidi w:val="0"/>
              <w:spacing w:before="0" w:after="0"/>
              <w:jc w:val="left"/>
              <w:rPr>
                <w:color w:val="000000"/>
              </w:rPr>
            </w:pPr>
            <w:r>
              <w:rPr>
                <w:color w:val="000000"/>
              </w:rPr>
              <w:t>•</w:t>
            </w:r>
          </w:p>
        </w:tc>
        <w:tc>
          <w:tcPr>
            <w:tcW w:w="32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data privacy and cybersecurity matters;</w:t>
            </w:r>
          </w:p>
        </w:tc>
      </w:tr>
    </w:tbl>
    <w:tbl>
      <w:tblPr>
        <w:tblW w:w="2665" w:type="dxa"/>
        <w:jc w:val="left"/>
        <w:tblInd w:w="0" w:type="dxa"/>
        <w:tblLayout w:type="fixed"/>
        <w:tblCellMar>
          <w:top w:w="0" w:type="dxa"/>
          <w:left w:w="0" w:type="dxa"/>
          <w:bottom w:w="0" w:type="dxa"/>
          <w:right w:w="0" w:type="dxa"/>
        </w:tblCellMar>
      </w:tblPr>
      <w:tblGrid>
        <w:gridCol w:w="110"/>
        <w:gridCol w:w="2555"/>
      </w:tblGrid>
      <w:tr>
        <w:trPr/>
        <w:tc>
          <w:tcPr>
            <w:tcW w:w="110" w:type="dxa"/>
            <w:tcBorders/>
            <w:vAlign w:val="center"/>
          </w:tcPr>
          <w:p>
            <w:pPr>
              <w:pStyle w:val="TableContents"/>
              <w:bidi w:val="0"/>
              <w:spacing w:before="0" w:after="0"/>
              <w:jc w:val="left"/>
              <w:rPr>
                <w:color w:val="000000"/>
              </w:rPr>
            </w:pPr>
            <w:r>
              <w:rPr>
                <w:color w:val="000000"/>
              </w:rPr>
              <w:t>•</w:t>
            </w:r>
          </w:p>
        </w:tc>
        <w:tc>
          <w:tcPr>
            <w:tcW w:w="25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title to assets and real property;</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8" w:name="ny20081083x2_defm14a_114-agreement_pg6"/>
        <w:bookmarkEnd w:id="148"/>
        <w:r>
          <w:rPr>
            <w:rStyle w:val="InternetLink"/>
            <w:rFonts w:ascii="Times New Roman;Times;Serif" w:hAnsi="Times New Roman;Times;Serif"/>
            <w:b/>
            <w:caps w:val="false"/>
            <w:smallCaps w:val="false"/>
            <w:color w:val="000000"/>
            <w:sz w:val="16"/>
          </w:rPr>
          <w:t>TABLE OF CONTENTS</w:t>
        </w:r>
      </w:hyperlink>
    </w:p>
    <w:tbl>
      <w:tblPr>
        <w:tblW w:w="3115" w:type="dxa"/>
        <w:jc w:val="left"/>
        <w:tblInd w:w="0" w:type="dxa"/>
        <w:tblLayout w:type="fixed"/>
        <w:tblCellMar>
          <w:top w:w="0" w:type="dxa"/>
          <w:left w:w="0" w:type="dxa"/>
          <w:bottom w:w="0" w:type="dxa"/>
          <w:right w:w="0" w:type="dxa"/>
        </w:tblCellMar>
      </w:tblPr>
      <w:tblGrid>
        <w:gridCol w:w="110"/>
        <w:gridCol w:w="3005"/>
      </w:tblGrid>
      <w:tr>
        <w:trPr/>
        <w:tc>
          <w:tcPr>
            <w:tcW w:w="110" w:type="dxa"/>
            <w:tcBorders/>
            <w:vAlign w:val="center"/>
          </w:tcPr>
          <w:p>
            <w:pPr>
              <w:pStyle w:val="TableContents"/>
              <w:bidi w:val="0"/>
              <w:spacing w:before="0" w:after="0"/>
              <w:jc w:val="left"/>
              <w:rPr>
                <w:color w:val="000000"/>
              </w:rPr>
            </w:pPr>
            <w:r>
              <w:rPr>
                <w:color w:val="000000"/>
              </w:rPr>
              <w:t>•</w:t>
            </w:r>
          </w:p>
        </w:tc>
        <w:tc>
          <w:tcPr>
            <w:tcW w:w="30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material contracts and commitments;</w:t>
            </w:r>
          </w:p>
        </w:tc>
      </w:tr>
    </w:tbl>
    <w:tbl>
      <w:tblPr>
        <w:tblW w:w="2155" w:type="dxa"/>
        <w:jc w:val="left"/>
        <w:tblInd w:w="0" w:type="dxa"/>
        <w:tblLayout w:type="fixed"/>
        <w:tblCellMar>
          <w:top w:w="0" w:type="dxa"/>
          <w:left w:w="0" w:type="dxa"/>
          <w:bottom w:w="0" w:type="dxa"/>
          <w:right w:w="0" w:type="dxa"/>
        </w:tblCellMar>
      </w:tblPr>
      <w:tblGrid>
        <w:gridCol w:w="110"/>
        <w:gridCol w:w="2045"/>
      </w:tblGrid>
      <w:tr>
        <w:trPr/>
        <w:tc>
          <w:tcPr>
            <w:tcW w:w="110" w:type="dxa"/>
            <w:tcBorders/>
            <w:vAlign w:val="center"/>
          </w:tcPr>
          <w:p>
            <w:pPr>
              <w:pStyle w:val="TableContents"/>
              <w:bidi w:val="0"/>
              <w:spacing w:before="0" w:after="0"/>
              <w:jc w:val="left"/>
              <w:rPr>
                <w:color w:val="000000"/>
              </w:rPr>
            </w:pPr>
            <w:r>
              <w:rPr>
                <w:color w:val="000000"/>
              </w:rPr>
              <w:t>•</w:t>
            </w:r>
          </w:p>
        </w:tc>
        <w:tc>
          <w:tcPr>
            <w:tcW w:w="20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products and warranties; </w:t>
            </w:r>
          </w:p>
        </w:tc>
      </w:tr>
    </w:tbl>
    <w:tbl>
      <w:tblPr>
        <w:tblW w:w="3505" w:type="dxa"/>
        <w:jc w:val="left"/>
        <w:tblInd w:w="0" w:type="dxa"/>
        <w:tblLayout w:type="fixed"/>
        <w:tblCellMar>
          <w:top w:w="0" w:type="dxa"/>
          <w:left w:w="0" w:type="dxa"/>
          <w:bottom w:w="0" w:type="dxa"/>
          <w:right w:w="0" w:type="dxa"/>
        </w:tblCellMar>
      </w:tblPr>
      <w:tblGrid>
        <w:gridCol w:w="110"/>
        <w:gridCol w:w="3395"/>
      </w:tblGrid>
      <w:tr>
        <w:trPr/>
        <w:tc>
          <w:tcPr>
            <w:tcW w:w="110" w:type="dxa"/>
            <w:tcBorders/>
            <w:vAlign w:val="center"/>
          </w:tcPr>
          <w:p>
            <w:pPr>
              <w:pStyle w:val="TableContents"/>
              <w:bidi w:val="0"/>
              <w:spacing w:before="0" w:after="0"/>
              <w:jc w:val="left"/>
              <w:rPr>
                <w:color w:val="000000"/>
              </w:rPr>
            </w:pPr>
            <w:r>
              <w:rPr>
                <w:color w:val="000000"/>
              </w:rPr>
              <w:t>•</w:t>
            </w:r>
          </w:p>
        </w:tc>
        <w:tc>
          <w:tcPr>
            <w:tcW w:w="33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top customers, distributors and suppliers; </w:t>
            </w:r>
          </w:p>
        </w:tc>
      </w:tr>
    </w:tbl>
    <w:tbl>
      <w:tblPr>
        <w:tblW w:w="835" w:type="dxa"/>
        <w:jc w:val="left"/>
        <w:tblInd w:w="0" w:type="dxa"/>
        <w:tblLayout w:type="fixed"/>
        <w:tblCellMar>
          <w:top w:w="0" w:type="dxa"/>
          <w:left w:w="0" w:type="dxa"/>
          <w:bottom w:w="0" w:type="dxa"/>
          <w:right w:w="0" w:type="dxa"/>
        </w:tblCellMar>
      </w:tblPr>
      <w:tblGrid>
        <w:gridCol w:w="110"/>
        <w:gridCol w:w="725"/>
      </w:tblGrid>
      <w:tr>
        <w:trPr/>
        <w:tc>
          <w:tcPr>
            <w:tcW w:w="110" w:type="dxa"/>
            <w:tcBorders/>
            <w:vAlign w:val="center"/>
          </w:tcPr>
          <w:p>
            <w:pPr>
              <w:pStyle w:val="TableContents"/>
              <w:bidi w:val="0"/>
              <w:spacing w:before="0" w:after="0"/>
              <w:jc w:val="left"/>
              <w:rPr>
                <w:color w:val="000000"/>
              </w:rPr>
            </w:pPr>
            <w:r>
              <w:rPr>
                <w:color w:val="000000"/>
              </w:rPr>
              <w:t>•</w:t>
            </w:r>
          </w:p>
        </w:tc>
        <w:tc>
          <w:tcPr>
            <w:tcW w:w="7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permits; </w:t>
            </w:r>
          </w:p>
        </w:tc>
      </w:tr>
    </w:tbl>
    <w:tbl>
      <w:tblPr>
        <w:tblW w:w="4975" w:type="dxa"/>
        <w:jc w:val="left"/>
        <w:tblInd w:w="0" w:type="dxa"/>
        <w:tblLayout w:type="fixed"/>
        <w:tblCellMar>
          <w:top w:w="0" w:type="dxa"/>
          <w:left w:w="0" w:type="dxa"/>
          <w:bottom w:w="0" w:type="dxa"/>
          <w:right w:w="0" w:type="dxa"/>
        </w:tblCellMar>
      </w:tblPr>
      <w:tblGrid>
        <w:gridCol w:w="110"/>
        <w:gridCol w:w="4865"/>
      </w:tblGrid>
      <w:tr>
        <w:trPr/>
        <w:tc>
          <w:tcPr>
            <w:tcW w:w="110" w:type="dxa"/>
            <w:tcBorders/>
            <w:vAlign w:val="center"/>
          </w:tcPr>
          <w:p>
            <w:pPr>
              <w:pStyle w:val="TableContents"/>
              <w:bidi w:val="0"/>
              <w:spacing w:before="0" w:after="0"/>
              <w:jc w:val="left"/>
              <w:rPr>
                <w:color w:val="000000"/>
              </w:rPr>
            </w:pPr>
            <w:r>
              <w:rPr>
                <w:color w:val="000000"/>
              </w:rPr>
              <w:t>•</w:t>
            </w:r>
          </w:p>
        </w:tc>
        <w:tc>
          <w:tcPr>
            <w:tcW w:w="48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investigations and governmental orders; </w:t>
            </w:r>
          </w:p>
        </w:tc>
      </w:tr>
    </w:tbl>
    <w:tbl>
      <w:tblPr>
        <w:tblW w:w="1120" w:type="dxa"/>
        <w:jc w:val="left"/>
        <w:tblInd w:w="0" w:type="dxa"/>
        <w:tblLayout w:type="fixed"/>
        <w:tblCellMar>
          <w:top w:w="0" w:type="dxa"/>
          <w:left w:w="0" w:type="dxa"/>
          <w:bottom w:w="0" w:type="dxa"/>
          <w:right w:w="0" w:type="dxa"/>
        </w:tblCellMar>
      </w:tblPr>
      <w:tblGrid>
        <w:gridCol w:w="110"/>
        <w:gridCol w:w="1010"/>
      </w:tblGrid>
      <w:tr>
        <w:trPr/>
        <w:tc>
          <w:tcPr>
            <w:tcW w:w="110" w:type="dxa"/>
            <w:tcBorders/>
            <w:vAlign w:val="center"/>
          </w:tcPr>
          <w:p>
            <w:pPr>
              <w:pStyle w:val="TableContents"/>
              <w:bidi w:val="0"/>
              <w:spacing w:before="0" w:after="0"/>
              <w:jc w:val="left"/>
              <w:rPr>
                <w:color w:val="000000"/>
              </w:rPr>
            </w:pPr>
            <w:r>
              <w:rPr>
                <w:color w:val="000000"/>
              </w:rPr>
              <w:t>•</w:t>
            </w:r>
          </w:p>
        </w:tc>
        <w:tc>
          <w:tcPr>
            <w:tcW w:w="1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 matters; </w:t>
            </w:r>
          </w:p>
        </w:tc>
      </w:tr>
    </w:tbl>
    <w:tbl>
      <w:tblPr>
        <w:tblW w:w="3655" w:type="dxa"/>
        <w:jc w:val="left"/>
        <w:tblInd w:w="0" w:type="dxa"/>
        <w:tblLayout w:type="fixed"/>
        <w:tblCellMar>
          <w:top w:w="0" w:type="dxa"/>
          <w:left w:w="0" w:type="dxa"/>
          <w:bottom w:w="0" w:type="dxa"/>
          <w:right w:w="0" w:type="dxa"/>
        </w:tblCellMar>
      </w:tblPr>
      <w:tblGrid>
        <w:gridCol w:w="110"/>
        <w:gridCol w:w="3545"/>
      </w:tblGrid>
      <w:tr>
        <w:trPr/>
        <w:tc>
          <w:tcPr>
            <w:tcW w:w="110" w:type="dxa"/>
            <w:tcBorders/>
            <w:vAlign w:val="center"/>
          </w:tcPr>
          <w:p>
            <w:pPr>
              <w:pStyle w:val="TableContents"/>
              <w:bidi w:val="0"/>
              <w:spacing w:before="0" w:after="0"/>
              <w:jc w:val="left"/>
              <w:rPr>
                <w:color w:val="000000"/>
              </w:rPr>
            </w:pPr>
            <w:r>
              <w:rPr>
                <w:color w:val="000000"/>
              </w:rPr>
              <w:t>•</w:t>
            </w:r>
          </w:p>
        </w:tc>
        <w:tc>
          <w:tcPr>
            <w:tcW w:w="35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employee benefit plans and ERISA matters;</w:t>
            </w:r>
          </w:p>
        </w:tc>
      </w:tr>
    </w:tbl>
    <w:tbl>
      <w:tblPr>
        <w:tblW w:w="2650" w:type="dxa"/>
        <w:jc w:val="left"/>
        <w:tblInd w:w="0" w:type="dxa"/>
        <w:tblLayout w:type="fixed"/>
        <w:tblCellMar>
          <w:top w:w="0" w:type="dxa"/>
          <w:left w:w="0" w:type="dxa"/>
          <w:bottom w:w="0" w:type="dxa"/>
          <w:right w:w="0" w:type="dxa"/>
        </w:tblCellMar>
      </w:tblPr>
      <w:tblGrid>
        <w:gridCol w:w="110"/>
        <w:gridCol w:w="2540"/>
      </w:tblGrid>
      <w:tr>
        <w:trPr/>
        <w:tc>
          <w:tcPr>
            <w:tcW w:w="110" w:type="dxa"/>
            <w:tcBorders/>
            <w:vAlign w:val="center"/>
          </w:tcPr>
          <w:p>
            <w:pPr>
              <w:pStyle w:val="TableContents"/>
              <w:bidi w:val="0"/>
              <w:spacing w:before="0" w:after="0"/>
              <w:jc w:val="left"/>
              <w:rPr>
                <w:color w:val="000000"/>
              </w:rPr>
            </w:pPr>
            <w:r>
              <w:rPr>
                <w:color w:val="000000"/>
              </w:rPr>
              <w:t>•</w:t>
            </w:r>
          </w:p>
        </w:tc>
        <w:tc>
          <w:tcPr>
            <w:tcW w:w="25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employment and labor matters;</w:t>
            </w:r>
          </w:p>
        </w:tc>
      </w:tr>
    </w:tbl>
    <w:tbl>
      <w:tblPr>
        <w:tblW w:w="2050" w:type="dxa"/>
        <w:jc w:val="left"/>
        <w:tblInd w:w="0" w:type="dxa"/>
        <w:tblLayout w:type="fixed"/>
        <w:tblCellMar>
          <w:top w:w="0" w:type="dxa"/>
          <w:left w:w="0" w:type="dxa"/>
          <w:bottom w:w="0" w:type="dxa"/>
          <w:right w:w="0" w:type="dxa"/>
        </w:tblCellMar>
      </w:tblPr>
      <w:tblGrid>
        <w:gridCol w:w="110"/>
        <w:gridCol w:w="1940"/>
      </w:tblGrid>
      <w:tr>
        <w:trPr/>
        <w:tc>
          <w:tcPr>
            <w:tcW w:w="110" w:type="dxa"/>
            <w:tcBorders/>
            <w:vAlign w:val="center"/>
          </w:tcPr>
          <w:p>
            <w:pPr>
              <w:pStyle w:val="TableContents"/>
              <w:bidi w:val="0"/>
              <w:spacing w:before="0" w:after="0"/>
              <w:jc w:val="left"/>
              <w:rPr>
                <w:color w:val="000000"/>
              </w:rPr>
            </w:pPr>
            <w:r>
              <w:rPr>
                <w:color w:val="000000"/>
              </w:rPr>
              <w:t>•</w:t>
            </w:r>
          </w:p>
        </w:tc>
        <w:tc>
          <w:tcPr>
            <w:tcW w:w="19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environmental matters; </w:t>
            </w:r>
          </w:p>
        </w:tc>
      </w:tr>
    </w:tbl>
    <w:tbl>
      <w:tblPr>
        <w:tblW w:w="1015" w:type="dxa"/>
        <w:jc w:val="left"/>
        <w:tblInd w:w="0" w:type="dxa"/>
        <w:tblLayout w:type="fixed"/>
        <w:tblCellMar>
          <w:top w:w="0" w:type="dxa"/>
          <w:left w:w="0" w:type="dxa"/>
          <w:bottom w:w="0" w:type="dxa"/>
          <w:right w:w="0" w:type="dxa"/>
        </w:tblCellMar>
      </w:tblPr>
      <w:tblGrid>
        <w:gridCol w:w="110"/>
        <w:gridCol w:w="905"/>
      </w:tblGrid>
      <w:tr>
        <w:trPr/>
        <w:tc>
          <w:tcPr>
            <w:tcW w:w="110" w:type="dxa"/>
            <w:tcBorders/>
            <w:vAlign w:val="center"/>
          </w:tcPr>
          <w:p>
            <w:pPr>
              <w:pStyle w:val="TableContents"/>
              <w:bidi w:val="0"/>
              <w:spacing w:before="0" w:after="0"/>
              <w:jc w:val="left"/>
              <w:rPr>
                <w:color w:val="000000"/>
              </w:rPr>
            </w:pPr>
            <w:r>
              <w:rPr>
                <w:color w:val="000000"/>
              </w:rPr>
              <w:t>•</w:t>
            </w:r>
          </w:p>
        </w:tc>
        <w:tc>
          <w:tcPr>
            <w:tcW w:w="90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insurance;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compliance with applicable legal requirements, including anti-corruption, anti-money laundering, sanctions and export control matters;</w:t>
            </w:r>
          </w:p>
        </w:tc>
      </w:tr>
    </w:tbl>
    <w:tbl>
      <w:tblPr>
        <w:tblW w:w="1255" w:type="dxa"/>
        <w:jc w:val="left"/>
        <w:tblInd w:w="0" w:type="dxa"/>
        <w:tblLayout w:type="fixed"/>
        <w:tblCellMar>
          <w:top w:w="0" w:type="dxa"/>
          <w:left w:w="0" w:type="dxa"/>
          <w:bottom w:w="0" w:type="dxa"/>
          <w:right w:w="0" w:type="dxa"/>
        </w:tblCellMar>
      </w:tblPr>
      <w:tblGrid>
        <w:gridCol w:w="110"/>
        <w:gridCol w:w="1145"/>
      </w:tblGrid>
      <w:tr>
        <w:trPr/>
        <w:tc>
          <w:tcPr>
            <w:tcW w:w="110" w:type="dxa"/>
            <w:tcBorders/>
            <w:vAlign w:val="center"/>
          </w:tcPr>
          <w:p>
            <w:pPr>
              <w:pStyle w:val="TableContents"/>
              <w:bidi w:val="0"/>
              <w:spacing w:before="0" w:after="0"/>
              <w:jc w:val="left"/>
              <w:rPr>
                <w:color w:val="000000"/>
              </w:rPr>
            </w:pPr>
            <w:r>
              <w:rPr>
                <w:color w:val="000000"/>
              </w:rPr>
              <w:t>•</w:t>
            </w:r>
          </w:p>
        </w:tc>
        <w:tc>
          <w:tcPr>
            <w:tcW w:w="1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fees;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 </w:t>
            </w:r>
          </w:p>
        </w:tc>
      </w:tr>
    </w:tbl>
    <w:tbl>
      <w:tblPr>
        <w:tblW w:w="4510" w:type="dxa"/>
        <w:jc w:val="left"/>
        <w:tblInd w:w="0" w:type="dxa"/>
        <w:tblLayout w:type="fixed"/>
        <w:tblCellMar>
          <w:top w:w="0" w:type="dxa"/>
          <w:left w:w="0" w:type="dxa"/>
          <w:bottom w:w="0" w:type="dxa"/>
          <w:right w:w="0" w:type="dxa"/>
        </w:tblCellMar>
      </w:tblPr>
      <w:tblGrid>
        <w:gridCol w:w="110"/>
        <w:gridCol w:w="4400"/>
      </w:tblGrid>
      <w:tr>
        <w:trPr/>
        <w:tc>
          <w:tcPr>
            <w:tcW w:w="110" w:type="dxa"/>
            <w:tcBorders/>
            <w:vAlign w:val="center"/>
          </w:tcPr>
          <w:p>
            <w:pPr>
              <w:pStyle w:val="TableContents"/>
              <w:bidi w:val="0"/>
              <w:spacing w:before="0" w:after="0"/>
              <w:jc w:val="left"/>
              <w:rPr>
                <w:color w:val="000000"/>
              </w:rPr>
            </w:pPr>
            <w:r>
              <w:rPr>
                <w:color w:val="000000"/>
              </w:rPr>
              <w:t>•</w:t>
            </w:r>
          </w:p>
        </w:tc>
        <w:tc>
          <w:tcPr>
            <w:tcW w:w="44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receipt of the opinion of Synaptics’ financial advisor; </w:t>
            </w:r>
          </w:p>
        </w:tc>
      </w:tr>
    </w:tbl>
    <w:tbl>
      <w:tblPr>
        <w:tblW w:w="4090" w:type="dxa"/>
        <w:jc w:val="left"/>
        <w:tblInd w:w="0" w:type="dxa"/>
        <w:tblLayout w:type="fixed"/>
        <w:tblCellMar>
          <w:top w:w="0" w:type="dxa"/>
          <w:left w:w="0" w:type="dxa"/>
          <w:bottom w:w="0" w:type="dxa"/>
          <w:right w:w="0" w:type="dxa"/>
        </w:tblCellMar>
      </w:tblPr>
      <w:tblGrid>
        <w:gridCol w:w="110"/>
        <w:gridCol w:w="3980"/>
      </w:tblGrid>
      <w:tr>
        <w:trPr/>
        <w:tc>
          <w:tcPr>
            <w:tcW w:w="110" w:type="dxa"/>
            <w:tcBorders/>
            <w:vAlign w:val="center"/>
          </w:tcPr>
          <w:p>
            <w:pPr>
              <w:pStyle w:val="TableContents"/>
              <w:bidi w:val="0"/>
              <w:spacing w:before="0" w:after="0"/>
              <w:jc w:val="left"/>
              <w:rPr>
                <w:color w:val="000000"/>
              </w:rPr>
            </w:pPr>
            <w:r>
              <w:rPr>
                <w:color w:val="000000"/>
              </w:rPr>
              <w:t>•</w:t>
            </w:r>
          </w:p>
        </w:tc>
        <w:tc>
          <w:tcPr>
            <w:tcW w:w="398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inapplicability of anti-takeover statutes; and </w:t>
            </w:r>
          </w:p>
        </w:tc>
      </w:tr>
    </w:tbl>
    <w:tbl>
      <w:tblPr>
        <w:tblW w:w="3130" w:type="dxa"/>
        <w:jc w:val="left"/>
        <w:tblInd w:w="0" w:type="dxa"/>
        <w:tblLayout w:type="fixed"/>
        <w:tblCellMar>
          <w:top w:w="0" w:type="dxa"/>
          <w:left w:w="0" w:type="dxa"/>
          <w:bottom w:w="0" w:type="dxa"/>
          <w:right w:w="0" w:type="dxa"/>
        </w:tblCellMar>
      </w:tblPr>
      <w:tblGrid>
        <w:gridCol w:w="110"/>
        <w:gridCol w:w="3020"/>
      </w:tblGrid>
      <w:tr>
        <w:trPr/>
        <w:tc>
          <w:tcPr>
            <w:tcW w:w="110" w:type="dxa"/>
            <w:tcBorders/>
            <w:vAlign w:val="center"/>
          </w:tcPr>
          <w:p>
            <w:pPr>
              <w:pStyle w:val="TableContents"/>
              <w:bidi w:val="0"/>
              <w:spacing w:before="0" w:after="0"/>
              <w:jc w:val="left"/>
              <w:rPr>
                <w:color w:val="000000"/>
              </w:rPr>
            </w:pPr>
            <w:r>
              <w:rPr>
                <w:color w:val="000000"/>
              </w:rPr>
              <w:t>•</w:t>
            </w:r>
          </w:p>
        </w:tc>
        <w:tc>
          <w:tcPr>
            <w:tcW w:w="30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onsemi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of onsemi and Merger Sub in the Merger Agreement relate to, among other things: </w:t>
      </w:r>
    </w:p>
    <w:tbl>
      <w:tblPr>
        <w:tblW w:w="9715" w:type="dxa"/>
        <w:jc w:val="left"/>
        <w:tblInd w:w="0" w:type="dxa"/>
        <w:tblLayout w:type="fixed"/>
        <w:tblCellMar>
          <w:top w:w="0" w:type="dxa"/>
          <w:left w:w="0" w:type="dxa"/>
          <w:bottom w:w="0" w:type="dxa"/>
          <w:right w:w="0" w:type="dxa"/>
        </w:tblCellMar>
      </w:tblPr>
      <w:tblGrid>
        <w:gridCol w:w="110"/>
        <w:gridCol w:w="9605"/>
      </w:tblGrid>
      <w:tr>
        <w:trPr/>
        <w:tc>
          <w:tcPr>
            <w:tcW w:w="110" w:type="dxa"/>
            <w:tcBorders/>
            <w:vAlign w:val="center"/>
          </w:tcPr>
          <w:p>
            <w:pPr>
              <w:pStyle w:val="TableContents"/>
              <w:bidi w:val="0"/>
              <w:spacing w:before="0" w:after="0"/>
              <w:jc w:val="left"/>
              <w:rPr>
                <w:color w:val="000000"/>
              </w:rPr>
            </w:pPr>
            <w:r>
              <w:rPr>
                <w:color w:val="000000"/>
              </w:rPr>
              <w:t>•</w:t>
            </w:r>
          </w:p>
        </w:tc>
        <w:tc>
          <w:tcPr>
            <w:tcW w:w="960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due organization, valid existence, good standing and qualification to do business, and corporate power and authority;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corporate power and authority to enter into the Merger Agreement, the valid and binding nature of the Merger Agreement, and the required board approvals;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conflict with, or violation or breach of, organizational documents, applicable law or material contracts as a result of the transactions contemplated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required governmental and other regulatory filings, consents and approvals in connection with the transactions contemplated by the Merger Agreement;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legal proceedings and governmental orders; </w:t>
            </w:r>
          </w:p>
        </w:tc>
      </w:tr>
    </w:tbl>
    <w:tbl>
      <w:tblPr>
        <w:tblW w:w="6205" w:type="dxa"/>
        <w:jc w:val="left"/>
        <w:tblInd w:w="0" w:type="dxa"/>
        <w:tblLayout w:type="fixed"/>
        <w:tblCellMar>
          <w:top w:w="0" w:type="dxa"/>
          <w:left w:w="0" w:type="dxa"/>
          <w:bottom w:w="0" w:type="dxa"/>
          <w:right w:w="0" w:type="dxa"/>
        </w:tblCellMar>
      </w:tblPr>
      <w:tblGrid>
        <w:gridCol w:w="110"/>
        <w:gridCol w:w="6095"/>
      </w:tblGrid>
      <w:tr>
        <w:trPr/>
        <w:tc>
          <w:tcPr>
            <w:tcW w:w="110" w:type="dxa"/>
            <w:tcBorders/>
            <w:vAlign w:val="center"/>
          </w:tcPr>
          <w:p>
            <w:pPr>
              <w:pStyle w:val="TableContents"/>
              <w:bidi w:val="0"/>
              <w:spacing w:before="0" w:after="0"/>
              <w:jc w:val="left"/>
              <w:rPr>
                <w:color w:val="000000"/>
              </w:rPr>
            </w:pPr>
            <w:r>
              <w:rPr>
                <w:color w:val="000000"/>
              </w:rPr>
              <w:t>•</w:t>
            </w:r>
          </w:p>
        </w:tc>
        <w:tc>
          <w:tcPr>
            <w:tcW w:w="60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accuracy of information supplied for inclusion in this proxy statement; </w:t>
            </w:r>
          </w:p>
        </w:tc>
      </w:tr>
    </w:tbl>
    <w:tbl>
      <w:tblPr>
        <w:tblW w:w="2260" w:type="dxa"/>
        <w:jc w:val="left"/>
        <w:tblInd w:w="0" w:type="dxa"/>
        <w:tblLayout w:type="fixed"/>
        <w:tblCellMar>
          <w:top w:w="0" w:type="dxa"/>
          <w:left w:w="0" w:type="dxa"/>
          <w:bottom w:w="0" w:type="dxa"/>
          <w:right w:w="0" w:type="dxa"/>
        </w:tblCellMar>
      </w:tblPr>
      <w:tblGrid>
        <w:gridCol w:w="110"/>
        <w:gridCol w:w="2150"/>
      </w:tblGrid>
      <w:tr>
        <w:trPr/>
        <w:tc>
          <w:tcPr>
            <w:tcW w:w="110" w:type="dxa"/>
            <w:tcBorders/>
            <w:vAlign w:val="center"/>
          </w:tcPr>
          <w:p>
            <w:pPr>
              <w:pStyle w:val="TableContents"/>
              <w:bidi w:val="0"/>
              <w:spacing w:before="0" w:after="0"/>
              <w:jc w:val="left"/>
              <w:rPr>
                <w:color w:val="000000"/>
              </w:rPr>
            </w:pPr>
            <w:r>
              <w:rPr>
                <w:color w:val="000000"/>
              </w:rPr>
              <w:t>•</w:t>
            </w:r>
          </w:p>
        </w:tc>
        <w:tc>
          <w:tcPr>
            <w:tcW w:w="21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brokers’ and finders’ fees; </w:t>
            </w:r>
          </w:p>
        </w:tc>
      </w:tr>
    </w:tbl>
    <w:tbl>
      <w:tblPr>
        <w:tblW w:w="3730" w:type="dxa"/>
        <w:jc w:val="left"/>
        <w:tblInd w:w="0" w:type="dxa"/>
        <w:tblLayout w:type="fixed"/>
        <w:tblCellMar>
          <w:top w:w="0" w:type="dxa"/>
          <w:left w:w="0" w:type="dxa"/>
          <w:bottom w:w="0" w:type="dxa"/>
          <w:right w:w="0" w:type="dxa"/>
        </w:tblCellMar>
      </w:tblPr>
      <w:tblGrid>
        <w:gridCol w:w="110"/>
        <w:gridCol w:w="3620"/>
      </w:tblGrid>
      <w:tr>
        <w:trPr/>
        <w:tc>
          <w:tcPr>
            <w:tcW w:w="110" w:type="dxa"/>
            <w:tcBorders/>
            <w:vAlign w:val="center"/>
          </w:tcPr>
          <w:p>
            <w:pPr>
              <w:pStyle w:val="TableContents"/>
              <w:bidi w:val="0"/>
              <w:spacing w:before="0" w:after="0"/>
              <w:jc w:val="left"/>
              <w:rPr>
                <w:color w:val="000000"/>
              </w:rPr>
            </w:pPr>
            <w:r>
              <w:rPr>
                <w:color w:val="000000"/>
              </w:rPr>
              <w:t>•</w:t>
            </w:r>
          </w:p>
        </w:tc>
        <w:tc>
          <w:tcPr>
            <w:tcW w:w="362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the operations and activities of Merger Sub;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availability of sufficient funds to pay the aggregate Merger Consideration and related fees and expenses, and the absence of any financing condition; and </w:t>
            </w:r>
          </w:p>
        </w:tc>
      </w:tr>
    </w:tbl>
    <w:tbl>
      <w:tblPr>
        <w:tblW w:w="3340" w:type="dxa"/>
        <w:jc w:val="left"/>
        <w:tblInd w:w="0" w:type="dxa"/>
        <w:tblLayout w:type="fixed"/>
        <w:tblCellMar>
          <w:top w:w="0" w:type="dxa"/>
          <w:left w:w="0" w:type="dxa"/>
          <w:bottom w:w="0" w:type="dxa"/>
          <w:right w:w="0" w:type="dxa"/>
        </w:tblCellMar>
      </w:tblPr>
      <w:tblGrid>
        <w:gridCol w:w="110"/>
        <w:gridCol w:w="3230"/>
      </w:tblGrid>
      <w:tr>
        <w:trPr/>
        <w:tc>
          <w:tcPr>
            <w:tcW w:w="110" w:type="dxa"/>
            <w:tcBorders/>
            <w:vAlign w:val="center"/>
          </w:tcPr>
          <w:p>
            <w:pPr>
              <w:pStyle w:val="TableContents"/>
              <w:bidi w:val="0"/>
              <w:spacing w:before="0" w:after="0"/>
              <w:jc w:val="left"/>
              <w:rPr>
                <w:color w:val="000000"/>
              </w:rPr>
            </w:pPr>
            <w:r>
              <w:rPr>
                <w:color w:val="000000"/>
              </w:rPr>
              <w:t>•</w:t>
            </w:r>
          </w:p>
        </w:tc>
        <w:tc>
          <w:tcPr>
            <w:tcW w:w="32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ownership of Synaptics common stock.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representations and warranties made by Synaptics, onsemi and Merger Sub are subject to important exceptions, qualifications and limitations, including exceptions based on materiality or a Company Material Adverse Effect or a Parent Material Adverse Effect, as applicable, and are further qualified by documents filed with or furnished to the SEC and by the confidential disclosure schedules delivered by each party. None of the representations and warranties contained in the Merger Agreement, or contained in any certificate, schedule or document delivered pursuant to the Merger Agreement, will survive the effective time. This does not limit any covenant or agreement of the parties contained in the Merger Agreement that by its terms is to be performed, in whole or in part, after the effective time.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49" w:name="ny20081083x2_defm14a_114-agreement_pg7"/>
        <w:bookmarkEnd w:id="14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50" w:name="tMDE1"/>
      <w:bookmarkEnd w:id="150"/>
      <w:r>
        <w:rPr>
          <w:rFonts w:ascii="Times New Roman;Times;serif" w:hAnsi="Times New Roman;Times;serif"/>
          <w:b/>
          <w:i/>
          <w:color w:val="000000"/>
          <w:sz w:val="20"/>
        </w:rPr>
        <w:t xml:space="preserve">Material Adverse Effect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Many of the representations and warranties of the parties in the Merger Agreement are qualified by a “material adverse effect” standard with respect to the party making such representations and warranties.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“Company Material Adverse Effect” means any state of facts, circumstance, condition, event, change, development, occurrence, result, effect, action or omission (each, an “Effect”) that (i) has had a material adverse effect on the business, condition (financial or otherwise), assets and liabilities (taken together), or results of operations of Synaptics and its subsidiaries taken as a whole, or (ii) prevents, materially impairs, materially impedes or materially delays (including delaying past the End Date) the consummation by Synaptics of the Merger and the other transactions contemplated by the Merger Agreement on or before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However, solely with respect to clause (i) of the preceding sentence, no Effect resulting from or arising out of any of the following will be deemed to constitute, or be taken into account in determining the existence of, a Company Material Adverse Effect as applicable: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conditions, effects or disruptions generally affecting the industries or markets in which Synaptics and its subsidiaries operate;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 decline or increase in the market price or trading volume of, or suspension of trading in, the Company’s equity securities or other securities or indebtedness (it being understood that the underlying causes of any such change, decline or increase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failure by the applicable party or any of its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of any such failure may be taken into account if not otherwise excluded by another clause of the definition);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or changes in the interpretation, enforcement or implementation of, applicable legal requirements, government policies, orders (including those related to taxes) or GAAP or other accounting standards;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acts of God, natural or man-made disasters, environmental events or force majeure events, including earthquakes, hurricanes, tsunamis, floods, mudslides, wildfires, tornadoes, storms, widespread power outages, nuclear incidents, pandemics, epidemics, disease outbreaks, public health emergencies, quarantines or other similar public health measures, and any governmental responses thereto;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negotiation, execution, delivery, public announcement, pendency or consummation of the Merger Agreement or the transactions contemplated by it (including the Merger), including the identity of onsemi and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(provided that this exception will not apply with respect to certain specified representations and warranties, or to certain related closing conditions);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the Merger Agreement, the Merger or the transactions contemplated by it;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89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1" w:name="ny20081083x2_defm14a_114-agreement_pg8"/>
        <w:bookmarkEnd w:id="151"/>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any action taken or omitted to be taken by the Company or any of its subsidiaries that is expressly required by the Merger Agreement, or expressly prohibited by the Merger Agreement, or taken at the written request, direction, consent or approval of onsemi (in the case of a Company Material Adverse Effect) or Synaptics; and </w:t>
            </w:r>
          </w:p>
        </w:tc>
      </w:tr>
    </w:tbl>
    <w:tbl>
      <w:tblPr>
        <w:tblW w:w="7735" w:type="dxa"/>
        <w:jc w:val="left"/>
        <w:tblInd w:w="0" w:type="dxa"/>
        <w:tblLayout w:type="fixed"/>
        <w:tblCellMar>
          <w:top w:w="0" w:type="dxa"/>
          <w:left w:w="0" w:type="dxa"/>
          <w:bottom w:w="0" w:type="dxa"/>
          <w:right w:w="0" w:type="dxa"/>
        </w:tblCellMar>
      </w:tblPr>
      <w:tblGrid>
        <w:gridCol w:w="110"/>
        <w:gridCol w:w="7625"/>
      </w:tblGrid>
      <w:tr>
        <w:trPr/>
        <w:tc>
          <w:tcPr>
            <w:tcW w:w="110" w:type="dxa"/>
            <w:tcBorders/>
            <w:vAlign w:val="center"/>
          </w:tcPr>
          <w:p>
            <w:pPr>
              <w:pStyle w:val="TableContents"/>
              <w:bidi w:val="0"/>
              <w:spacing w:before="0" w:after="0"/>
              <w:jc w:val="left"/>
              <w:rPr>
                <w:color w:val="000000"/>
              </w:rPr>
            </w:pPr>
            <w:r>
              <w:rPr>
                <w:color w:val="000000"/>
              </w:rPr>
              <w:t>•</w:t>
            </w:r>
          </w:p>
        </w:tc>
        <w:tc>
          <w:tcPr>
            <w:tcW w:w="762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any breach, violation or non-performance of the Merger Agreement by onsemi or Merger Sub.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Notwithstanding the foregoing, any Effect described in the first, second, fifth, sixth, or seventh bullets above may be taken into account in determining whether a Company Material Adverse Effect has occurred if, and solely to the extent that, such Effect has a disproportionate adverse impact on the Company and its subsidiaries, taken as a whole, as compared to other companies of comparable size operating in the same industries, geographies and markets (and, in such case, only to the extent of such disproportionate adverse impact).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“Parent Material Adverse Effect” means any Effect that prevents, materially delays or materially impairs the consummation by onsemi or Merger Sub of the Merger and the other transactions contemplated by the Merger Agreement, including the obligation to pay the Merger Consideration; provided that the absence or failure to obtain any consent, approval, waiver, or clearance under applicable antitrust laws and foreign direct investment laws shall not in and of itself be a Parent Material Adverse Effect. </w:t>
      </w:r>
    </w:p>
    <w:p>
      <w:pPr>
        <w:pStyle w:val="TextBody"/>
        <w:bidi w:val="0"/>
        <w:spacing w:before="400" w:after="283"/>
        <w:ind w:left="0" w:right="0" w:hanging="0"/>
        <w:jc w:val="left"/>
        <w:rPr>
          <w:rFonts w:ascii="Times New Roman;Times;serif" w:hAnsi="Times New Roman;Times;serif"/>
          <w:b/>
          <w:i/>
          <w:color w:val="000000"/>
          <w:sz w:val="20"/>
        </w:rPr>
      </w:pPr>
      <w:bookmarkStart w:id="152" w:name="tIOOS"/>
      <w:bookmarkEnd w:id="152"/>
      <w:r>
        <w:rPr>
          <w:rFonts w:ascii="Times New Roman;Times;serif" w:hAnsi="Times New Roman;Times;serif"/>
          <w:b/>
          <w:i/>
          <w:color w:val="000000"/>
          <w:sz w:val="20"/>
        </w:rPr>
        <w:t xml:space="preserve">Interim Operations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has agreed to certain covenants restricting the conduct of its and its subsidiaries’ businesses during the period from June 25, 2026, until the earlier of the Closing and the valid termination of the Merger Agreement. In general, except (1) with the prior written consent of onsemi (which consent may not be unreasonably withheld, conditioned or delayed), (2) as set forth in the confidential disclosure schedule delivered by Synaptics to onsemi, (3) as required by applicable legal requirements, or (4) as expressly permitted or required by the Merger Agreement, Synaptics has agreed that it will, and will cause its subsidiaries to, use commercially reasonable efforts to (a) conduct its business in the ordinary course consistent with past practice in all material respects and (b) preserve intact in all material respects its and its subsidiaries’ current business organization, keep available the services of its current officers, and maintain in all material respects its relations and goodwill with the persons having material business relationships with Synaptics or its subsidiaries.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Without limiting the generality of the foregoing, during the same period and subject to the same exceptions, Synaptics has agreed that it will not, and will not permit its subsidiaries to, directly or indirectly: </w:t>
      </w:r>
    </w:p>
    <w:tbl>
      <w:tblPr>
        <w:tblW w:w="7210" w:type="dxa"/>
        <w:jc w:val="left"/>
        <w:tblInd w:w="0" w:type="dxa"/>
        <w:tblLayout w:type="fixed"/>
        <w:tblCellMar>
          <w:top w:w="0" w:type="dxa"/>
          <w:left w:w="0" w:type="dxa"/>
          <w:bottom w:w="0" w:type="dxa"/>
          <w:right w:w="0" w:type="dxa"/>
        </w:tblCellMar>
      </w:tblPr>
      <w:tblGrid>
        <w:gridCol w:w="110"/>
        <w:gridCol w:w="7100"/>
      </w:tblGrid>
      <w:tr>
        <w:trPr/>
        <w:tc>
          <w:tcPr>
            <w:tcW w:w="110" w:type="dxa"/>
            <w:tcBorders/>
            <w:vAlign w:val="center"/>
          </w:tcPr>
          <w:p>
            <w:pPr>
              <w:pStyle w:val="TableContents"/>
              <w:bidi w:val="0"/>
              <w:spacing w:before="0" w:after="0"/>
              <w:jc w:val="left"/>
              <w:rPr>
                <w:color w:val="000000"/>
              </w:rPr>
            </w:pPr>
            <w:r>
              <w:rPr>
                <w:color w:val="000000"/>
              </w:rPr>
              <w:t>•</w:t>
            </w:r>
          </w:p>
        </w:tc>
        <w:tc>
          <w:tcPr>
            <w:tcW w:w="710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the organizational documents of Synaptics or any of its significant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adopt a plan or agreement of complete or partial liquidation, dissolution, consolidation, restructuring, recapitalization or other reorganization, or effect any merger, consolidation, share exchange, business combination, amalgamation, division or similar transaction, other than certain transactions solely among wholly owned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adjust, split, combine, reverse stock split, subdivide, reclassify or amend the terms of any shares of its capital stock or other equity interests, other than certain transactions involving only its subsidiaries;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declare, set aside, make or pay any dividend or other distribution with respect to its capital stock or other equity interests, other than dividends or distributions paid by a wholly owned subsidiary to Synaptics or another wholly owned subsidiary;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any entity, equity interest, business or division, or a substantial portion of the assets of any entity, subject to specified exceptions (including transactions among Synaptics and its wholly owned subsidiaries and acquisitions not exceeding specified dollar thresholds);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acquire, lease or license any assets, or any interest in real property, with a fair market value in excess of specified thresholds outside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make any loans, advances, capital contributions to or investments in any person, other than certain intercompany transactions and advancement of payables in the ordinary course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issue, sell, pledge, grant or authorize the issuance of any additional shares of, or securities convertible or exchangeable for, or options, warrants or rights to acquire, any shares of its capital stock or other equity interests, subject to specified exceptions (including (i) issuances upon the vesting or settlement of equity awards outstanding as of the date of the Merger Agreement or issued after the date of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3" w:name="ny20081083x2_defm14a_114-agreement_pg9"/>
        <w:bookmarkEnd w:id="15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in compliance with the Merger Agreement, in each case in accordance with their respective terms, (ii) conversions of the Synaptics Convertible Notes, and (iii) issuances pursuant to the exercise of purchase rights under the Synaptics employee stock purchase plan);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sell, assign, transfer, lease, license, encumber, abandon, cancel, allow to lapse or otherwise dispose of any material Synaptics intellectual property or other material assets, subject to specified monetary thresholds and other exceptions (including dispositions of inventory and non-exclusive licenses in the ordinary course of business);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repurchase, redeem or otherwise acquire any shares of its or its subsidiaries’ capital stock or other convertible or exchangeable securities, subject to exceptions relating to Synaptics RSUs, Synaptics PSUs, and Synaptics MSUs in the case of (i) the exercise of repurchase rights set forth in Synaptics RSU, Synaptics PSU, and Synaptics MSU agreements pursuant to the terms of such agreements, and (ii) the satisfaction of applicable tax withholding obligations in respect of the vesting or settlement of any Synaptics RSUs, Synaptic PSUs, and Synaptics MSUs (pursuant to the terms of the applicable agreements);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incur, redeem, repurchase, prepay, guarantee or modify any indebtedness for borrowed money, issue any debt securities, or incur any lien on its material property or assets, in each case subject to specified monetary thresholds and other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excluding increases in compensation or benefits required pursuant to the terms of Synaptics benefit plans in effect on the date of the Merger Agreement, (i) other than in the case of renewals of Synaptics benefit plans that affect employees generally and that are in the ordinary course of business consistent with past practice, adopt, amend or terminate any material Synaptics benefit plan; </w:t>
            </w:r>
            <w:r>
              <w:rPr>
                <w:rFonts w:ascii="Times New Roman;Times;serif" w:hAnsi="Times New Roman;Times;serif"/>
                <w:i/>
                <w:color w:val="000000"/>
                <w:sz w:val="20"/>
              </w:rPr>
              <w:t>provided</w:t>
            </w:r>
            <w:r>
              <w:rPr>
                <w:rFonts w:ascii="Times New Roman;Times;serif" w:hAnsi="Times New Roman;Times;serif"/>
                <w:color w:val="000000"/>
                <w:sz w:val="20"/>
              </w:rPr>
              <w:t xml:space="preserve">, </w:t>
            </w:r>
            <w:r>
              <w:rPr>
                <w:rFonts w:ascii="Times New Roman;Times;serif" w:hAnsi="Times New Roman;Times;serif"/>
                <w:i/>
                <w:color w:val="000000"/>
                <w:sz w:val="20"/>
              </w:rPr>
              <w:t>that</w:t>
            </w:r>
            <w:r>
              <w:rPr>
                <w:rFonts w:ascii="Times New Roman;Times;serif" w:hAnsi="Times New Roman;Times;serif"/>
                <w:color w:val="000000"/>
                <w:sz w:val="20"/>
              </w:rPr>
              <w:t xml:space="preserve">, Synaptics may enter into (x) contracts with individual independent contractors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Synaptics benefit plans in effect as of the date of the Merger Agreement or as required by applicable legal requirements); (ii) accelerate the vesting or payment of the compensation or benefits of any current or former director, employee or individual independent contractor of Synaptics or any Synaptics subsidiary; (iii) increase the compensation or benefits of any current or former director or employee of Synaptics or any Synaptics subsidiary, except for off-cycle salary or wage increases in the ordinary course of business consistent with past practice; (iv) grant any rights to severance, retention, change in control or termination pay to any current or former director, employee or other individual service provider of Synaptics or any Synaptics subsidiary, other than (1) pursuant to the terms of Synaptics benefit plans or individual contracts in effect as of the date the Merger Agreement or (2) in the case of severance or termination pay, as required by applicable legal requirements; (v) hire or promote any employee, except (1) hiring up to 30 net new employees below the level of vice president, or (2) with respect to employees below the level of vice president, promotions made in the ordinary course of business consistent with past practice; (vi) terminate the employment of any employee at or above the level of vice president; or (vii) terminate the employment of any 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Synaptics benefit plans or individual agreements in effect as of the date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modify, extend or enter into, or voluntarily recognize any labor union or works council with respect to, any collective bargaining or other labor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waive, release or amend the restrictive covenant, non-disclosure or confidentiality obligations of any current or former director, officer or employee, subject to certain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any “plant closing,” “mass layoff” or similar act requiring notice under the Worker Adjustment and Retraining Notification Act or any similar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 other than in the ordinary course of business consistent with past practice, grant material refunds or credits to customers or distributors, (ii) materially accelerate or alter practices relating to the collection of receivables or payment of payables, or (iii) take any action intended to materially increase channel inventory relative to revenue;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4" w:name="ny20081083x2_defm14a_114-agreement_pg10"/>
        <w:bookmarkEnd w:id="15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renew, extend, amend in any material respect or terminate certain material contracts with customers, distributors or suppliers, subject to specified thresholds and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change any of its methods of financial accounting or accounting practices in any material respect, other than as required by GAAP, the SEC or applicable legal requirements;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revalue in any material respect any of its properties or assets, other than in the ordinary course of business or as required by GAAP; </w:t>
            </w:r>
          </w:p>
        </w:tc>
      </w:tr>
    </w:tbl>
    <w:tbl>
      <w:tblPr>
        <w:tblW w:w="6805" w:type="dxa"/>
        <w:jc w:val="left"/>
        <w:tblInd w:w="0" w:type="dxa"/>
        <w:tblLayout w:type="fixed"/>
        <w:tblCellMar>
          <w:top w:w="0" w:type="dxa"/>
          <w:left w:w="0" w:type="dxa"/>
          <w:bottom w:w="0" w:type="dxa"/>
          <w:right w:w="0" w:type="dxa"/>
        </w:tblCellMar>
      </w:tblPr>
      <w:tblGrid>
        <w:gridCol w:w="110"/>
        <w:gridCol w:w="6695"/>
      </w:tblGrid>
      <w:tr>
        <w:trPr/>
        <w:tc>
          <w:tcPr>
            <w:tcW w:w="110" w:type="dxa"/>
            <w:tcBorders/>
            <w:vAlign w:val="center"/>
          </w:tcPr>
          <w:p>
            <w:pPr>
              <w:pStyle w:val="TableContents"/>
              <w:bidi w:val="0"/>
              <w:spacing w:before="0" w:after="0"/>
              <w:jc w:val="left"/>
              <w:rPr>
                <w:color w:val="000000"/>
              </w:rPr>
            </w:pPr>
            <w:r>
              <w:rPr>
                <w:color w:val="000000"/>
              </w:rPr>
              <w:t>•</w:t>
            </w:r>
          </w:p>
        </w:tc>
        <w:tc>
          <w:tcPr>
            <w:tcW w:w="66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make, change or revoke any material tax election, subject to specified exceptions;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any transaction or agreement with any affiliate or other person that would be required to be disclosed under Item 404 of Regulation S-K;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make any capital expenditure that is not contemplated by the agreed capital expenditure budget, subject to specified monetary thresholds and other exceptions;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settle or compromise any actual or threatened litigation, claim or other legal proceeding, subject to specified monetary thresholds and other exceptions (including that any settlement may not relate to stockholder litigation in connection with the Merger or include an admission of wrongdoing); </w:t>
            </w:r>
          </w:p>
        </w:tc>
      </w:tr>
    </w:tbl>
    <w:tbl>
      <w:tblPr>
        <w:tblW w:w="10180" w:type="dxa"/>
        <w:jc w:val="left"/>
        <w:tblInd w:w="0" w:type="dxa"/>
        <w:tblLayout w:type="fixed"/>
        <w:tblCellMar>
          <w:top w:w="0" w:type="dxa"/>
          <w:left w:w="0" w:type="dxa"/>
          <w:bottom w:w="0" w:type="dxa"/>
          <w:right w:w="0" w:type="dxa"/>
        </w:tblCellMar>
      </w:tblPr>
      <w:tblGrid>
        <w:gridCol w:w="110"/>
        <w:gridCol w:w="10070"/>
      </w:tblGrid>
      <w:tr>
        <w:trPr/>
        <w:tc>
          <w:tcPr>
            <w:tcW w:w="110" w:type="dxa"/>
            <w:tcBorders/>
            <w:vAlign w:val="center"/>
          </w:tcPr>
          <w:p>
            <w:pPr>
              <w:pStyle w:val="TableContents"/>
              <w:bidi w:val="0"/>
              <w:spacing w:before="0" w:after="0"/>
              <w:jc w:val="left"/>
              <w:rPr>
                <w:color w:val="000000"/>
              </w:rPr>
            </w:pPr>
            <w:r>
              <w:rPr>
                <w:color w:val="000000"/>
              </w:rPr>
              <w:t>•</w:t>
            </w:r>
          </w:p>
        </w:tc>
        <w:tc>
          <w:tcPr>
            <w:tcW w:w="10070"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commence any litigation or other proceeding with a value in excess of specified thresholds, subject to specified exceptions; </w:t>
            </w:r>
          </w:p>
        </w:tc>
      </w:tr>
    </w:tbl>
    <w:tbl>
      <w:tblPr>
        <w:tblW w:w="7405" w:type="dxa"/>
        <w:jc w:val="left"/>
        <w:tblInd w:w="0" w:type="dxa"/>
        <w:tblLayout w:type="fixed"/>
        <w:tblCellMar>
          <w:top w:w="0" w:type="dxa"/>
          <w:left w:w="0" w:type="dxa"/>
          <w:bottom w:w="0" w:type="dxa"/>
          <w:right w:w="0" w:type="dxa"/>
        </w:tblCellMar>
      </w:tblPr>
      <w:tblGrid>
        <w:gridCol w:w="110"/>
        <w:gridCol w:w="7295"/>
      </w:tblGrid>
      <w:tr>
        <w:trPr/>
        <w:tc>
          <w:tcPr>
            <w:tcW w:w="110" w:type="dxa"/>
            <w:tcBorders/>
            <w:vAlign w:val="center"/>
          </w:tcPr>
          <w:p>
            <w:pPr>
              <w:pStyle w:val="TableContents"/>
              <w:bidi w:val="0"/>
              <w:spacing w:before="0" w:after="0"/>
              <w:jc w:val="left"/>
              <w:rPr>
                <w:color w:val="000000"/>
              </w:rPr>
            </w:pPr>
            <w:r>
              <w:rPr>
                <w:color w:val="000000"/>
              </w:rPr>
              <w:t>•</w:t>
            </w:r>
          </w:p>
        </w:tc>
        <w:tc>
          <w:tcPr>
            <w:tcW w:w="72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amend in a manner that adversely impacts its business, or terminate, any material permits;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enter into a new line of business that would materially change the business of Synaptics and its subsidiaries, taken as a whole, or that is not reasonably related to its existing lines of business;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convene any meeting of its stockholders to consider a proposal that would reasonably be expected to impair, prevent or delay the consummation of the transactions contemplated by the Merger Agreement, other than in connection with a change in the Synaptics board’s recommendation as permitted by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other than in the ordinary course of business, materially reduce or terminate (other than in connection with a replacement) any material insurance coverage; or </w:t>
            </w:r>
          </w:p>
        </w:tc>
      </w:tr>
    </w:tbl>
    <w:tbl>
      <w:tblPr>
        <w:tblW w:w="8200" w:type="dxa"/>
        <w:jc w:val="left"/>
        <w:tblInd w:w="0" w:type="dxa"/>
        <w:tblLayout w:type="fixed"/>
        <w:tblCellMar>
          <w:top w:w="0" w:type="dxa"/>
          <w:left w:w="0" w:type="dxa"/>
          <w:bottom w:w="0" w:type="dxa"/>
          <w:right w:w="0" w:type="dxa"/>
        </w:tblCellMar>
      </w:tblPr>
      <w:tblGrid>
        <w:gridCol w:w="110"/>
        <w:gridCol w:w="8090"/>
      </w:tblGrid>
      <w:tr>
        <w:trPr/>
        <w:tc>
          <w:tcPr>
            <w:tcW w:w="110" w:type="dxa"/>
            <w:tcBorders/>
            <w:vAlign w:val="center"/>
          </w:tcPr>
          <w:p>
            <w:pPr>
              <w:pStyle w:val="TableContents"/>
              <w:bidi w:val="0"/>
              <w:spacing w:before="0" w:after="0"/>
              <w:jc w:val="left"/>
              <w:rPr>
                <w:color w:val="000000"/>
              </w:rPr>
            </w:pPr>
            <w:r>
              <w:rPr>
                <w:color w:val="000000"/>
              </w:rPr>
              <w:t>•</w:t>
            </w:r>
          </w:p>
        </w:tc>
        <w:tc>
          <w:tcPr>
            <w:tcW w:w="809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approve or enter into any agreement or commitment to take any of the foregoing actions.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without onsemi’s prior written consent (not to be unreasonably withheld, conditioned or delayed), neither Synaptics nor any of its subsidiaries or affiliates may grant, through any contract, any material accommodation or concession to any third party to obtain its consent to the transactions contemplated by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Nothing in the Merger Agreement gives onsemi, directly or indirectly, the right to control or direct the operations of Synaptics or its subsidiaries, or gives Synaptics, directly or indirectly, the right to control or direct the operations of onsemi or its subsidiaries, prior to the effective time, and prior to the effective time each of Synaptics and onsemi will exercise complete control and supervision over its and its respective subsidiaries’ businesses, assets and operations, consistent with the terms and conditions of the Merger Agreement.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agreed to prepare, in consultation with Parent, and cause to be filed this proxy statement, in preliminary form with the SEC as promptly as reasonably practicable and within 10 days after the date of the Merger Agreement. Synaptics will cause the definitive proxy statement to be mailed to its stockholders as promptly as practicable after the date on which Synaptics learns that the proxy statement will not be reviewed or that the SEC staff has no further comments thereon.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to cooperate with, and provide the other party with a reasonable opportunity to review and comment in advance on, this proxy statement (including any amendments or supplements) and any substantive correspondence with the SEC (including all responses to SEC comments), prior to filing with the SEC or mailing. </w:t>
      </w:r>
    </w:p>
    <w:p>
      <w:pPr>
        <w:pStyle w:val="TextBody"/>
        <w:bidi w:val="0"/>
        <w:spacing w:before="240" w:after="283"/>
        <w:ind w:left="0" w:right="0" w:hanging="0"/>
        <w:jc w:val="left"/>
        <w:rPr>
          <w:rFonts w:ascii="Times New Roman;Times;serif" w:hAnsi="Times New Roman;Times;serif"/>
          <w:b/>
          <w:i/>
          <w:color w:val="000000"/>
          <w:sz w:val="20"/>
        </w:rPr>
      </w:pPr>
      <w:bookmarkStart w:id="155" w:name="tASMS"/>
      <w:bookmarkEnd w:id="155"/>
      <w:r>
        <w:rPr>
          <w:rFonts w:ascii="Times New Roman;Times;serif" w:hAnsi="Times New Roman;Times;serif"/>
          <w:b/>
          <w:i/>
          <w:color w:val="000000"/>
          <w:sz w:val="20"/>
        </w:rPr>
        <w:t xml:space="preserve">Special Meeting of Synaptics’ Stockholders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Under the Merger Agreement, Synaptics must take all action necessary under applicable law and its organizational documents after the date on which Synaptics learns that the proxy statement will not be reviewed or that the SEC staff has no further comments thereon to, as promptly as reasonably practicable (and in any event within 30 days thereafter),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6" w:name="ny20081083x2_defm14a_114-agreement_pg11"/>
        <w:bookmarkEnd w:id="15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pPr>
      <w:r>
        <w:rPr>
          <w:rFonts w:ascii="Times New Roman;Times;serif" w:hAnsi="Times New Roman;Times;serif"/>
          <w:color w:val="000000"/>
          <w:sz w:val="20"/>
        </w:rPr>
        <w:t xml:space="preserve">duly call, give notice of and hold the Special Meeting for the purpose of obtaining the required Synaptics stockholder vote. Subject to the provisions described below under “—Synaptics Change in Recommendation” beginning on page </w:t>
      </w:r>
      <w:hyperlink w:anchor="tSCR">
        <w:r>
          <w:rPr>
            <w:rStyle w:val="InternetLink"/>
            <w:rFonts w:ascii="Times New Roman;Times;serif" w:hAnsi="Times New Roman;Times;serif"/>
            <w:color w:val="000080"/>
            <w:sz w:val="20"/>
          </w:rPr>
          <w:t>93</w:t>
        </w:r>
      </w:hyperlink>
      <w:r>
        <w:rPr>
          <w:rFonts w:ascii="Times New Roman;Times;serif" w:hAnsi="Times New Roman;Times;serif"/>
          <w:color w:val="000000"/>
          <w:sz w:val="20"/>
        </w:rPr>
        <w:t xml:space="preserve"> of this proxy statement, the Synaptics board is required to include in this proxy statement its recommendation that Synaptics stockholders vote in favor of the adoption of the Merger Agreement and, except in the case where the Synaptics board has made a Synaptics Change in Recommendation, to use reasonable best efforts to solicit proxies in favor of the adoption of the Merger Agreement. Synaptics may not postpone or adjourn the Special Meeting without onsemi’s prior written consent, other than (a) to the extent reasonably necessary to ensure that any supplement or amendment to this proxy statement that the Synaptics board has determined in good faith after consultation with outside counsel is required by applicable law is disclosed to Synaptics stockholders and for such supplement or amendment to be promptly disseminated to stockholders within a reasonable amount of time prior to the Special Meeting, (b) if required by applicable law or a request from the SEC or its staff, or (c) if as of the time for which the Special Meeting is scheduled there are insufficient shares of Synaptics common stock represented (either in person or by proxy) to constitute a quorum necessary to conduct business at the Special Meeting. In addition, Synaptics may, and if onsemi so requests at any time prior to the date that is four months from the date on which Synaptics learns that the proxy statement will not be reviewed or that the SEC staff has no further comments thereon, Synaptics must, postpone or adjourn the Special Meeting in order to solicit additional proxies in favor of the adoption of the Merger Agreement if, on the date for which the Special Meeting is scheduled, there would be insufficient votes to obtain the required Synaptics stockholder vote, whether or not a quorum is present, in which case, except in the case where the Synaptics board has made a Synaptics Change in Recommendation, Synaptics must use reasonable best efforts during any such postponement or adjournment to solicit and obtain proxies in favor of the adoption of the Merger Agreement as soon as reasonably practicable. Any such adjournments or postponements are subject to the following limitations: they must be for the minimum duration reasonably necessary to accomplish their purpose (and, in the case of adjournments for the absence of a quorum, for no more than five business days each time), without onsemi’s prior written consent (not to be unreasonably withheld, in the cases of adjournments under clauses (a) and (b) above) all adjournments and postponements taken together may not cause the date of the Special Meeting to be more than 20 business days after the date for which the Special Meeting was originally scheduled (unless otherwise required by applicable law), and in no event may the Special Meeting be adjourned or postponed to a date that is less than five business days prior to the End Date. Even if the Synaptics board makes a Synaptics Change in Recommendation, unless the Merger Agreement has been earlier terminated in accordance with its terms, Synaptics remains obligated to submit the adoption of the Merger Agreement to a vote of its stockholders at the Special Meeting. </w:t>
      </w:r>
    </w:p>
    <w:p>
      <w:pPr>
        <w:pStyle w:val="TextBody"/>
        <w:bidi w:val="0"/>
        <w:spacing w:before="410" w:after="283"/>
        <w:ind w:left="0" w:right="0" w:hanging="0"/>
        <w:jc w:val="left"/>
        <w:rPr>
          <w:rFonts w:ascii="Times New Roman;Times;serif" w:hAnsi="Times New Roman;Times;serif"/>
          <w:b/>
          <w:i/>
          <w:color w:val="000000"/>
          <w:sz w:val="20"/>
        </w:rPr>
      </w:pPr>
      <w:bookmarkStart w:id="157" w:name="tSCR"/>
      <w:bookmarkEnd w:id="157"/>
      <w:r>
        <w:rPr>
          <w:rFonts w:ascii="Times New Roman;Times;serif" w:hAnsi="Times New Roman;Times;serif"/>
          <w:b/>
          <w:i/>
          <w:color w:val="000000"/>
          <w:sz w:val="20"/>
        </w:rPr>
        <w:t xml:space="preserve">Synaptics Change in Recommendation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Under the Merger Agreement, the Synaptics board has recommended that Synaptics stockholders adopt and approve the Merger Agreement (the “Synaptics board recommendation”), and, subject to the exceptions described below, Synaptics has agreed to include the Synaptics board recommendation in this proxy statement. Except as described below, neither the Synaptics board nor any committee of it may (i) withhold, withdraw, modify, amend or qualify (or publicly propose to do so) the Synaptics board recommendation in a manner adverse to onsemi or Merger Sub, or fail to include the Synaptics board recommendation in this proxy statement; (ii) approve, endorse, adopt, recommend or declare advisable (or publicly propose to do so) any Company Acquisition Proposal; (iii) fail to publicly recommend against any tender or exchange offer relating to Synaptics equity securities within ten business days after it is commenced; (iv) if requested by onsemi, fail to publicly reaffirm the Synaptics board recommendation within a specified period after a Company Acquisition Proposal is publicly made or modified; (v) cause or permit Synaptics to enter into any merger, acquisition, purchase or similar agreement relating to an Acquisition Transaction (other than a permitted confidentiality agreement); (vi) take any action to make any anti-takeover statute inapplicable to any Company Acquisition Proposal; or (vii) publicly propose, resolve or agree to do any of the foregoing (any action described in the foregoing clauses (i) through (iv), a “Synaptics Change in Recommendation”).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8" w:name="ny20081083x2_defm14a_114-agreement_pg12"/>
        <w:bookmarkEnd w:id="15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Notwithstanding these restrictions, at any time prior to obtaining the required vote of Synaptics stockholders, the Synaptics board may make a Synaptics Change in Recommendation, and authorize Synaptics to terminate the Merger Agreement to concurrently enter into a definitive agreement with respect to a Superior Proposal (as defined in the Merger Agreement), in response to a bona fide written Company Acquisition Proposal received after the date of the Merger Agreement that has not been withdrawn and did not result from a material breach of the non-solicitation covenant, if and only if: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Synaptics board determines in good faith, after consultation with its outside legal counsel and financial advisor, that the Company Acquisition Proposal constitutes a Superior Proposal and that the failure to take such action would reasonably be expected to be inconsistent with the Synaptics board’s fiduciary duties to Synaptics stockholders under applicable law;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delivers to onsemi a written notice, at least four business days in advance, stating that the Synaptics board intends to make a Synaptics Change in Recommendation and/or terminate the Merger Agreement, and identifying the person making, and including a copy of, the Superior Proposal and the proposed definitive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during that four-business-day period, if requested by onsemi, Synaptics and its advisors negotiate in good faith with onsemi regarding a possible amendment of the Merger Agreement so that the Company Acquisition Proposal ceases to be a Superior Proposal, and, after that period, the Synaptics board again determines in good faith (taking into account any amendments onsemi has committed to in writing) that the Company Acquisition Proposal continues to constitute a Superior Proposal;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in the case of a termination to enter into a definitive agreement with respect to a Superior Proposal, Synaptics pays, or causes to be paid, the Synaptics termination fee.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there is any change to the financial terms or any other material terms of the Company Acquisition Proposal, Synaptics must deliver a new notice to onsemi and comply with the notice and good faith negotiation requirements again, except that the original four-business-day notice period is extended to ensure that at least two business days remain therein.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at any time prior to obtaining the required vote of Synaptics stockholders, and other than in connection with an Company Acquisition Proposal, the Synaptics board may make a Synaptics Change in Recommendation in response to an “Intervening Event” if the Synaptics board determines in good faith, after consultation with its outside legal counsel and financial advisor, that the failure to do so would reasonably be expected to be inconsistent with its fiduciary duties, subject to substantially similar advance-notice and good faith negotiation requirements. An “Intervening Event” generally means a material state of facts, event, change, effect, circumstance, occurrence or development arising after the date of the Merger Agreement that was not known or reasonably foreseeable by the Synaptics board as of that date, that does not result from Synaptics’ material breach of its non-solicitation and related covenants, and that does not result from or relate to an Acquisition Proposal, the announcement or pendency of the transactions, or (in and of itself) any change in the trading price or trading volume of Synaptics or onsemi common stock or Synaptics exceeding any projections or forecasts.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Even if the Synaptics board makes a Synaptics Change in Recommendation, unless the Merger Agreement has been earlier terminated in accordance with its terms (including by Synaptics to concurrently enter into a definitive agreement with respect to a Superior Proposal), Synaptics remains obligated to submit the adoption of the Merger Agreement to a vote of its stockholders at the Special Meeting. Nothing in the Merger Agreement prohibits Synaptics, the Synaptics board or their representatives from taking and disclosing to Synaptics stockholders a position contemplated by Rule 14e-2(a), complying with Rule 14d-9, or issuing a “stop, look and listen” communication under Rule 14d-9(f) under the Exchange Act, so long as any such communication that would constitute a Synaptics Change in Recommendation is made only in accordance with the provisions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“Superior Proposal” generally means a bona fide written Company Acquisition Proposal made after the date of the Merger Agreement that, if consummated, would result in a person or group (other than onsemi) becoming the beneficial owner of businesses that account for 50% or more of the consolidated net revenues, net income or assets of Synaptics and its subsidiaries, taken as a whole, or 50% or more of the outstanding total voting power of Synaptics’ equity securities, and that the Synaptics board determines in good faith (after consultation with its outside legal counsel and financial advisor, and taking into account the terms and conditions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59" w:name="ny20081083x2_defm14a_114-agreement_pg13"/>
        <w:bookmarkEnd w:id="15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of the proposal and any revisions committed to in writing by onsemi) is reasonably likely to be consummated on the terms proposed and would be more favorable to Synaptics stockholders, from a financial point of view, than the Merger (taking into account payment of the Synaptics termination fee). </w:t>
      </w:r>
    </w:p>
    <w:p>
      <w:pPr>
        <w:pStyle w:val="TextBody"/>
        <w:bidi w:val="0"/>
        <w:spacing w:before="400" w:after="283"/>
        <w:ind w:left="0" w:right="0" w:hanging="0"/>
        <w:jc w:val="left"/>
        <w:rPr>
          <w:rFonts w:ascii="Times New Roman;Times;serif" w:hAnsi="Times New Roman;Times;serif"/>
          <w:b/>
          <w:i/>
          <w:color w:val="000000"/>
          <w:sz w:val="20"/>
        </w:rPr>
      </w:pPr>
      <w:bookmarkStart w:id="160" w:name="tNSOO"/>
      <w:bookmarkEnd w:id="160"/>
      <w:r>
        <w:rPr>
          <w:rFonts w:ascii="Times New Roman;Times;serif" w:hAnsi="Times New Roman;Times;serif"/>
          <w:b/>
          <w:i/>
          <w:color w:val="000000"/>
          <w:sz w:val="20"/>
        </w:rPr>
        <w:t xml:space="preserve">No Solicitation of Other Offers by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more fully described in this proxy statement and in the Merger Agreement, subject to the exceptions described below, Synaptics has agreed that it will not, and will cause its subsidiaries not to, and will direct and use reasonable best efforts to cause its and their respective directors, officers and other representatives not to, directly or indirectly: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solicit, initiate, knowingly encourage or knowingly facilitate any inquiries regarding, or the submission or announcement of, any proposal or offer that constitutes, or would reasonably be expected to lead to, any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 or disclose any non-public information regarding Synaptics or its subsidiaries (other than to onsemi and its subsidiaries), or afford access to Synaptics’ or its subsidiaries’ representatives, businesses, assets, books, records or property, in connection with, or for the purpose of soliciting, initiating, knowingly encouraging, or knowingly facilitating, or in response to, any Company Acquisition Proposal or any inquiry, proposal or offer that would reasonably be expected to lead to a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engage in, enter into, continue or otherwise participate in any discussions or negotiations with or otherwise knowingly encourage any effort by any person (other than onsemi or its representatives) with respect to any Company Acquisition Proposal or any inquiry, proposal or offer that would reasonably be expected to lead to any Company Acquisition Proposal;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approve, adopt, recommend, agree to or enter into (or propose to do any of the foregoing) any letter of intent, term sheet, memorandum of understanding, or similar document, agreement, commitment or agreement in principle with respect to any Company Acquisition Proposal, or enter into any agreement requiring Synaptics to abandon, terminate or fail to consummate the transactions contemplated by the Merger Agreement or breach its non-solicitation obligations;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amend or grant any waiver or release under any standstill or similar agreement (subject to a limited exception for automatic “fall-away” provisions), or approve any transaction under, or any third party becoming an “interested stockholder” under, Section 203 of the DGCL; or </w:t>
            </w:r>
          </w:p>
        </w:tc>
      </w:tr>
    </w:tbl>
    <w:tbl>
      <w:tblPr>
        <w:tblW w:w="8170" w:type="dxa"/>
        <w:jc w:val="left"/>
        <w:tblInd w:w="0" w:type="dxa"/>
        <w:tblLayout w:type="fixed"/>
        <w:tblCellMar>
          <w:top w:w="0" w:type="dxa"/>
          <w:left w:w="0" w:type="dxa"/>
          <w:bottom w:w="0" w:type="dxa"/>
          <w:right w:w="0" w:type="dxa"/>
        </w:tblCellMar>
      </w:tblPr>
      <w:tblGrid>
        <w:gridCol w:w="110"/>
        <w:gridCol w:w="8060"/>
      </w:tblGrid>
      <w:tr>
        <w:trPr/>
        <w:tc>
          <w:tcPr>
            <w:tcW w:w="110" w:type="dxa"/>
            <w:tcBorders/>
            <w:vAlign w:val="center"/>
          </w:tcPr>
          <w:p>
            <w:pPr>
              <w:pStyle w:val="TableContents"/>
              <w:bidi w:val="0"/>
              <w:spacing w:before="0" w:after="0"/>
              <w:jc w:val="left"/>
              <w:rPr>
                <w:color w:val="000000"/>
              </w:rPr>
            </w:pPr>
            <w:r>
              <w:rPr>
                <w:color w:val="000000"/>
              </w:rPr>
              <w:t>•</w:t>
            </w:r>
          </w:p>
        </w:tc>
        <w:tc>
          <w:tcPr>
            <w:tcW w:w="80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authorize, resolve, agree or publicly announce or propose any intention to do any of the foregoing.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also agreed that, promptly following the execution of the Merger Agreement (and in no event later than 24 hours after its public announcement), it would, and would cause its subsidiaries and their representatives to, immediately cease and terminate any existing solicitation of, or discussions or negotiations with, any person (other than onsemi and its representatives) relating to any Company Acquisition Proposal, terminate access to any data room relating to any potential Acquisition Proposal, and request the return or destruction of non-public information previously furnished to such persons.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restrictions are subject to limited exceptions. Synaptics may communicate with a person solely to request clarification of the terms of, or to determine whether, an unsolicited inquiry or proposal (that did not result from a material breach of the non-solicitation covenant) constitutes a Company Acquisition Proposal, without providing non-public information, negotiating or discussing valuation or other material terms. In addition, at any time prior to obtaining the required vote of Synaptics stockholders, Synaptics and its representatives may engage in discussions or negotiations with, and furnish non-public information to, a person that has made a bona fide written Company Acquisition Proposal after the date of the Merger Agreement that did not result from a material breach of the non-solicitation covenant if: (i) prior to taking such action, the Synaptics board determines in good faith, after consultation with its outside legal counsel and financial advisor, that the Company Acquisition Proposal constitutes, or would reasonably be expected to lead to, a Superior Proposal and that the failure to take such action would reasonably be expected to be inconsistent with the Synaptics board’s fiduciary duties to Synaptics stockholders under applicable law; and (ii) before furnishing any non-public information, Synaptics receives from such person an executed confidentiality agreement containing terms at least as restrictive of such person, and no less favorable to Synaptics, as the existing non-disclosure agreement between Synaptics and onsemi’s affiliate (which need not contain a standstill provision) and that expressly permits Synaptics to comply with its non-solicitation obligations under the Merger Agreement. Prior to or substantially concurrently with providing any non-public information to such person, Synaptics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1" w:name="ny20081083x2_defm14a_114-agreement_pg14"/>
        <w:bookmarkEnd w:id="1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must make that non-public information available to onsemi to the extent not previously made available. Synaptics must promptly (and in any event within 24 hours) inform onsemi of the Synaptics board’s determination to engage in such discussions or negotiations or furnish such information, and thereafter keep onsemi reasonably informed, in writing and on a current basis (and in any event within 24 hours), of material changes to the status and terms of any such discussions, negotiations or Company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must promptly (and in no event later than 24 hours after receipt) notify onsemi in writing of any Company Acquisition Proposal, or any inquiry or request for information that is reasonably likely to lead to a Company Acquisition Proposal, including the identity of the person making it and unredacted copies of all written materials exchanged describing its terms, and must thereafter keep onsemi reasonably informed, on a current basis (and in any event within one business day), of the status and material terms of, and any material changes to, any such Company Acquisition Proposal.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the Merger Agreement, a “Company Acquisition Proposal” generally means any offer, indication of interest or proposal (other than by onsemi or its subsidiaries) relating to an “Acquisition Transaction,” which generally includes, among other things, a merger, consolidation or similar business combination involving Synaptics, the acquisition by any person or group of 20% or more of the outstanding voting power of Synaptics or of 20% or more of the consolidated assets of Synaptics and its subsidiaries, taken as a whole, or a tender or exchange offer that would result in any person or group acquiring 20% or more of the outstanding voting power of Synaptics. </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Regulatory Approvals Required for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and Synaptics each filed with the FTC and the DOJ their respective HSR notifications relating to the Merger on July 17, 2026. On August 12, 2026, the parties received notice that early termination of the waiting period under the HSR Act was granted by the FTC, effective as of August 12, 2026. onsemi and Synaptics have agreed in the Merger Agreement to, in consultation and cooperation with each other and as promptly as practicable and advisable after the date of the Merger Agreement, use reasonable best efforts to prepare and file (or pre-file as applicable) all other notifications required by the Specified Antitrust Jurisdictions with respect to the Merger and any other transactions contemplated by the Merger Agreement. onsemi may make, or may become required to make, merger notifications in additional jurisdictions—in certain cases voluntarily or at onsemi’s discretion, and in others only if a regulator asserts jurisdiction over or requests a filing with respect to the Merger; in such case, any such jurisdiction may also be deemed to be a Specified Antitrust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subject to the terms and conditions set forth in the Merger Agreement, onsemi agreed to use its reasonable best efforts to take, or cause to be taken, all actions necessary to avoid or eliminate each and every impediment under applicable antitrust laws and foreign direct investment laws so that the transaction may be closed as promptly as possible, including: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onsemi’s or any of its affiliates’ ability to own or operate any assets, properties, businesses, or product lines of Synaptics and its affiliates or of onsemi and its affiliates (each of the foregoing a “</w:t>
            </w:r>
            <w:r>
              <w:rPr>
                <w:rFonts w:ascii="Times New Roman;Times;serif" w:hAnsi="Times New Roman;Times;serif"/>
                <w:b/>
                <w:color w:val="000000"/>
                <w:sz w:val="20"/>
              </w:rPr>
              <w:t>Regulatory Remedy”</w:t>
            </w:r>
            <w:r>
              <w:rPr>
                <w:rFonts w:ascii="Times New Roman;Times;serif" w:hAnsi="Times New Roman;Times;serif"/>
                <w:color w:val="000000"/>
                <w:sz w:val="20"/>
              </w:rPr>
              <w:t xml:space="preserve">);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avoiding the entry of any permanent or preliminary injunction or other legal order that would make consummation of the transaction unlawful or would otherwise prevent or delay the transaction’s consummation; </w:t>
            </w:r>
          </w:p>
        </w:tc>
      </w:tr>
    </w:tbl>
    <w:p>
      <w:pPr>
        <w:pStyle w:val="TextBody"/>
        <w:bidi w:val="0"/>
        <w:spacing w:before="120" w:after="283"/>
        <w:ind w:left="0" w:right="0" w:hanging="0"/>
        <w:jc w:val="both"/>
        <w:rPr>
          <w:rFonts w:ascii="Times New Roman;Times;serif" w:hAnsi="Times New Roman;Times;serif"/>
          <w:i/>
          <w:color w:val="000000"/>
          <w:sz w:val="20"/>
        </w:rPr>
      </w:pPr>
      <w:r>
        <w:rPr>
          <w:rFonts w:ascii="Times New Roman;Times;serif" w:hAnsi="Times New Roman;Times;serif"/>
          <w:i/>
          <w:color w:val="000000"/>
          <w:sz w:val="20"/>
        </w:rPr>
        <w:t>provided</w:t>
      </w:r>
      <w:r>
        <w:rPr>
          <w:rFonts w:ascii="Times New Roman;Times;serif" w:hAnsi="Times New Roman;Times;serif"/>
          <w:i/>
          <w:caps w:val="false"/>
          <w:smallCaps w:val="false"/>
          <w:color w:val="000000"/>
          <w:sz w:val="20"/>
        </w:rPr>
        <w:t xml:space="preserve"> </w:t>
      </w:r>
      <w:r>
        <w:rPr>
          <w:rFonts w:ascii="Times New Roman;Times;serif" w:hAnsi="Times New Roman;Times;serif"/>
          <w:i w:val="false"/>
          <w:caps w:val="false"/>
          <w:smallCaps w:val="false"/>
          <w:color w:val="000000"/>
          <w:sz w:val="20"/>
        </w:rPr>
        <w:t>that no such Regulatory Remedies should have a material adverse effect on the business or financial condition of Synaptics and its subsidiaries, taken as a whole, or on the business or financial condition of onsemi and its subsidiaries, taken as a whole, including the benefits reasonably expected to be realized by onsemi in consummating the Merger, measured relative to the size and scale of Synaptics and its subsidiaries. Notwithstanding the foregoing, Synaptics and its subsidiaries shall not take any Regulatory Remedies except and as to the extent requested in writing by onsemi, and neither onsemi nor Synaptics shall be required to take any Regulatory Remedies that are not conditioned upon consummation of the Merger.</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Further, onsemi and Synaptics agreed to use their respective reasonable best efforts to contest and resist any action or proceeding challenging the Merger as violative of any antitrust law, and to have vacated, lifted, reversed, or overturned any decree, judgement, injunction, or other order, whether temporary, preliminary, or permanent, that in effect prohibits, prevents, or restricts consummation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2" w:name="ny20081083x2_defm14a_114-agreement_pg15"/>
        <w:bookmarkEnd w:id="16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Subject to the terms of the Merger Agreement, applicable laws relating to the sharing of information and the terms and conditions of the confidentiality agreement entered into by onsemi and Synaptics, dated as of April 13, 2026, from the date of the Merger Agreement until the effective time, each party to the Merger Agreement has also agreed to (i) consult with each other in good faith prior to taking a position with respect to any filing in the Specified Antitrust Jurisdictions, (ii) permit the other to review and discuss in advance, and consider in good faith the views of the other in connection with, any analyses, appearances, presentations, memoranda, letters, response to requests, briefs, white papers, arguments, opinions, and proposals before making or submitting any of the foregoing to any Governmental Entity, (iii) coordinate with the other in preparing and exchanging such information, (iv) promptly provide the other with copies of all written communications (and a summary of any oral presentations) made or submitted by each party with or to any Governmental Entity, and (v) consult with the other party in advance of any substantive meeting (including video conference or teleconference) with any Governmental Entity or, in connection with any proceeding by a private party, any other person and, to the extent not prohibited by the Governmental Entity or the other person, give the other party reasonable opportunity to attend and participate in such substantive meetings.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shall control, lead, direct, and implement the strategy for seeking and securing any actions or consents under the applicable antitrust laws and foreign direct investment laws, </w:t>
      </w:r>
      <w:r>
        <w:rPr>
          <w:rFonts w:ascii="Times New Roman;Times;serif" w:hAnsi="Times New Roman;Times;serif"/>
          <w:i/>
          <w:color w:val="000000"/>
          <w:sz w:val="20"/>
        </w:rPr>
        <w:t xml:space="preserve">provided </w:t>
      </w:r>
      <w:r>
        <w:rPr>
          <w:rFonts w:ascii="Times New Roman;Times;serif" w:hAnsi="Times New Roman;Times;serif"/>
          <w:color w:val="000000"/>
          <w:sz w:val="20"/>
        </w:rPr>
        <w:t xml:space="preserve">that onsemi may not commit to or agree with any Governmental Entity to stay, toll, or extend any applicable waiting period under any applicable antitrust law without prior written consent of Synaptics (such consent not to be unreasonably withheld, conditioned, or delayed); </w:t>
      </w:r>
      <w:r>
        <w:rPr>
          <w:rFonts w:ascii="Times New Roman;Times;serif" w:hAnsi="Times New Roman;Times;serif"/>
          <w:i/>
          <w:color w:val="000000"/>
          <w:sz w:val="20"/>
        </w:rPr>
        <w:t>provided further</w:t>
      </w:r>
      <w:r>
        <w:rPr>
          <w:rFonts w:ascii="Times New Roman;Times;serif" w:hAnsi="Times New Roman;Times;serif"/>
          <w:color w:val="000000"/>
          <w:sz w:val="20"/>
        </w:rPr>
        <w:t xml:space="preserve">, however, that onsemi has the right to take the lead in all meetings, communications, discussions, and negotiations with any Governmental Entity in connection with obtaining any such action or consent.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Additionally, without limiting the foregoing, onsemi has agreed that it will not, and will cause its respective subsidiaries and affiliates not to, effect or agree to acquire any assets, licenses, rights, product lines, operations, business or person that competes with Synaptics to the extent that such acquisition would reasonably be expected to materially delay, materially impede, or prevent the consummation of the Merger. </w:t>
      </w:r>
    </w:p>
    <w:p>
      <w:pPr>
        <w:pStyle w:val="TextBody"/>
        <w:bidi w:val="0"/>
        <w:spacing w:before="400" w:after="283"/>
        <w:ind w:left="0" w:right="0" w:hanging="0"/>
        <w:jc w:val="left"/>
        <w:rPr>
          <w:rFonts w:ascii="Times New Roman;Times;serif" w:hAnsi="Times New Roman;Times;serif"/>
          <w:b/>
          <w:i/>
          <w:color w:val="000000"/>
          <w:sz w:val="20"/>
        </w:rPr>
      </w:pPr>
      <w:bookmarkStart w:id="163" w:name="tDAOI"/>
      <w:bookmarkEnd w:id="163"/>
      <w:r>
        <w:rPr>
          <w:rFonts w:ascii="Times New Roman;Times;serif" w:hAnsi="Times New Roman;Times;serif"/>
          <w:b/>
          <w:i/>
          <w:color w:val="000000"/>
          <w:sz w:val="20"/>
        </w:rPr>
        <w:t xml:space="preserve">Directors’ and Officers’ 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current and former directors, officers, members and managers of Synaptics or its subsidiaries, and any person who at any time prior to the effective time served, at Synaptics’ or a subsidiary’s written request, as a director, officer, member or manager of another entity or as a fiduciary of a Synaptics benefit plan (the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for a period of six years following the effective time, onsemi will cause the Surviving Corporation to maintain in effect Synaptics’ directors’ and officers’ liability insurance in effect immediately prior to the closing (or a comparable replacement policy) covering claims arising out of acts or omissions occurring at or prior to the effective time, on terms with respect to coverage and amounts no less favorable to the insureds than Synaptics’ existing policy. However, onsemi is not required to expend for such coverage more than 300% of the aggregate annual cost of Synaptics’ current directors’ and officers’ liability insurance (the “maximum amount”), and if the annual cost would exceed the maximum amount, the Surviving Corporation is required to maintain the most favorable coverage available for a cost not exceeding the maximum amount.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4" w:name="ny20081083x2_defm14a_114-agreement_pg16"/>
        <w:bookmarkEnd w:id="1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that ongoing coverage, at onsemi’s request and in reasonable consultation with onsemi, Synaptics will, prior to the effective time, purchase a six-year prepaid “tail” insurance policy on the existing directors’ and officers’ liability insurance covering each of Synaptics and its subsidiaries and their respective insured persons in respect of claims arising out of acts, omissions or other matters occurring at or prior to the effective time (including acts or omissions occurring in connection with the Merger Agreement and the consummation of the transactions contemplated thereby), on terms with respect to coverage and amounts no less favorable to the insureds than Synaptics’ directors’ and officers’ (“D&amp;O”) liability insurance in effect as of immediately prior to the closing, subject to the same maximum amount cap (with the most favorable “tail” coverage available for a cost not exceeding the maximum amount to be obtained, in reasonable consultation with onsemi, if the cost would otherwise exceed the cap, unless onsemi directs otherwise). If such “tail” policy is purchased, onsemi will cause the Surviving Corporation to maintain it in full force and effect and continue to honor its obligations thereunder, in lieu of all other applicable insurance obligations of onsemi and the Surviving Corporation described above.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indemnified party notifies onsemi, on or prior to the sixth anniversary of the effective time, of a matter for which indemnification is sought, the related indemnification and expense-advancement obligations will continue until the final disposition of that matter. These indemnification and insurance obligations may not be terminated, amended or modified in a manner that adversely affects any indemnified party (or other beneficiary of the D&amp;O or “tail” insurance) without that person’s prior written consent, and the indemnified parties and such other beneficiaries are express third-party beneficiaries of these provisions. The rights of the indemnified parties under these provisions are in addition to, and not in substitution for, any other rights they may have under the organizational documents of Synaptics or its subsidiaries, any indemnification agreements or applicable law. If onsemi, the Surviving Corporation or any of its respective subsidiaries (or their respective successors or assigns) consolidates with or merges into another person and is not the continuing or Surviving Corporation or entity in such consolidation or merger, then, to the extent necessary to protect the rights of the indemnified parties (and the other beneficiaries of the D&amp;O or “tail” insurance), proper provision will be made so that the continuing or Surviving Corporation or entity (or its successors or assigns) assumes these obligations.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Employee Matters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24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Compensation and Benefits.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During the period commencing on the closing date and ending on the date that is 12 months after the closing date, onsemi will, or will cause its subsidiaries (including the Surviving Corporation) to, provide each employee of Synaptics or any Synaptics subsidiary who continues employment with onsemi or any of its subsidiaries after the effective time (a “continuing employee”) with (i) an annual base salary or base wage rate and total target cash incentive opportunity (excluding equity and equity-based compensation) that is no less favorable in the aggregate than the annual base salary or wage rate and total target cash incentive opportunity that was provided by Synaptics to such continuing employee immediately prior to the effective time, and (ii) employee benefits (excluding defined benefit pension, post-retirement medical, nonqualified deferred compensation, severance, cash, equity, equity-based, transaction, change in control, and retention benefits) that are substantially comparable in the aggregate to either those provided by Synaptics immediately prior to the effective time or those provided to similarly situated onsemi employees.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5" w:name="ny20081083x2_defm14a_114-agreement_pg17"/>
        <w:bookmarkEnd w:id="1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Service Credit.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recognize all service of continuing employees to Synaptics and its subsidiaries and their predecessors for purposes of eligibility to participate, vesting, accrual and level of benefits under onsemi benefit plans (including vacation and severance, but excluding defined benefit pension, post-retirement medical, cash, equity, equity-based, nonqualified deferred compensation, retention, transaction, and change in control benefits), except to the extent such recognition would result in the duplication of benefits or the continuing employee’s service was not recognized under an applicable Synaptics benefit plan prior to the effective time. In addition, onsemi will use reasonable best efforts to cause its group health plans to waive preexisting condition limitations, exclusions and waiting periods to the extent waived or satisfied under a corresponding Synaptics benefit plan (other than such preexisting condition limitations, exclusions and waiting periods that are already in effect with respect to a continuing employee and that have not been waived or satisfied as of the effective time under the analogous Synaptics benefit plan), and to recognize deductibles, co-payments and out-of-pocket expenses paid by continuing employees, their spouses and dependents under Synaptics benefit plans during the applicable plan year for purposes of applying annual deductible, co-payment and out-of-pocket maximums under analogous onsemi benefit plans.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Prorated Annual Bonuses.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will, or will cause its subsidiaries to, pay each continuing employee who participates in an annual bonus plan covering the fiscal year in which the effective time occurs a prorated annual bonus for the portion of the fiscal year that elapsed through the effective time, calculated based on target level performance attainment and paid in a single lump sum within 15 days following the effective time.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Change of Control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agreed between a continuing employee and onsemi, onsemi has agreed to assume, honor and maintain, following the effective time, the Synaptics change in control and severance agreements Synaptics has previously entered into with its officers and the employment agreement with its Chief Executive Officer in accordance with the terms of the agreements. onsemi has acknowledged that the consummation of the Merger will constitute a “change in control” within the meaning of the change in control and severance agreements and the Synaptics Equity Agreements. </w:t>
      </w:r>
    </w:p>
    <w:p>
      <w:pPr>
        <w:pStyle w:val="TextBody"/>
        <w:bidi w:val="0"/>
        <w:spacing w:before="33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401(k)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onsemi requests that such plan not be terminated no later than ten business days before the closing date, the Synaptics board (or appropriate committee) will adopt resolutions and take such actions as are reasonably necessary to terminate the Synaptics 401(k) plan effective as of the day prior to the closing date, contingent upon the closing, and provide that participants will become fully vested in any unvested portion of their plan accounts as of the date such plan is terminated. If the Synaptics 401(k) plan is terminated as described in this paragraph, Synaptics will deliver to onsemi, no later than the day immediately preceding the closing date, evidence that the Synaptics 401(k) plan has been validly terminated. Following the effective time and receipt of a favorable IRS determination letter, if applicable, the assets of the Synaptics 401(k) plan will be distributed to participants, and onsemi will, to the extent permitted by the onsemi 401(k) plan, cause the onsemi 401(k) plan to accept direct rollovers from the Synaptics 401(k) plan of the account balance of each continuing employee who participated in the Synaptics 401(k) plan as of the date the Synaptics 401(k) plan is terminated and who elects such direct rollover.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employee matters provisions of the Merger Agreement are not intended to confer any rights or benefits on any person other than the parties to the Merger Agreement, including any right to employment or continued employment for any period; provided that the continuing employees who are parties to the change of control agreements are intended third-party beneficiaries of the provisions relating to such agreements.</w:t>
      </w:r>
    </w:p>
    <w:p>
      <w:pPr>
        <w:pStyle w:val="TextBody"/>
        <w:bidi w:val="0"/>
        <w:spacing w:before="33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 Cooperation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In connection with onsemi’s debt financing, Synaptics will use reasonable best efforts to, and will cause its subsidiaries to use reasonable best efforts to provide onsemi with customary financing cooperation, including:</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furnishing to onsemi audited consolidated balance sheets and related consolidated statements of operations, comprehensive (loss) income, stockholders’ equity (deficit) and cash flows for Synaptics for each of the three most recently completed fiscal years of Synaptics ended at least sixty (60) days prior to the closing date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99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6" w:name="ny20081083x2_defm14a_114-agreement_pg18"/>
        <w:bookmarkEnd w:id="166"/>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furnishing to onsemi such customary information regarding Synaptics and its subsidiaries as is reasonably requested in writing by onsemi (A) in connection with the preparation of customary offering and marketing documents (and any supplements thereto) for the financing, or (B) as is reasonably necessary to permit onsemi to prepare pro forma financial statements customarily included in marketing and offering documents for an offering of securities of onsemi on a registration statement filed with the SEC in accordance with Article 11 of Regulation S-X under the Securities Act; it being understood that onsemi, and not Synaptics or any subsidiary, is responsible for preparation of pro forma financial statements and any other pro forma financial information;</w:t>
            </w:r>
          </w:p>
        </w:tc>
      </w:tr>
    </w:tbl>
    <w:tbl>
      <w:tblPr>
        <w:tblW w:w="5575" w:type="dxa"/>
        <w:jc w:val="left"/>
        <w:tblInd w:w="0" w:type="dxa"/>
        <w:tblLayout w:type="fixed"/>
        <w:tblCellMar>
          <w:top w:w="0" w:type="dxa"/>
          <w:left w:w="0" w:type="dxa"/>
          <w:bottom w:w="0" w:type="dxa"/>
          <w:right w:w="0" w:type="dxa"/>
        </w:tblCellMar>
      </w:tblPr>
      <w:tblGrid>
        <w:gridCol w:w="110"/>
        <w:gridCol w:w="5465"/>
      </w:tblGrid>
      <w:tr>
        <w:trPr/>
        <w:tc>
          <w:tcPr>
            <w:tcW w:w="110" w:type="dxa"/>
            <w:tcBorders/>
            <w:vAlign w:val="center"/>
          </w:tcPr>
          <w:p>
            <w:pPr>
              <w:pStyle w:val="TableContents"/>
              <w:bidi w:val="0"/>
              <w:spacing w:before="0" w:after="0"/>
              <w:jc w:val="left"/>
              <w:rPr>
                <w:color w:val="000000"/>
              </w:rPr>
            </w:pPr>
            <w:r>
              <w:rPr>
                <w:color w:val="000000"/>
              </w:rPr>
              <w:t>•</w:t>
            </w:r>
          </w:p>
        </w:tc>
        <w:tc>
          <w:tcPr>
            <w:tcW w:w="54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furnishing to the financing sources customary authorization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causing Synaptics’ independent accountants to provide assistance and cooperation reasonably requested by onsemi in connection with the financing and consistent with the customary practice of such accountants, including participating in due diligence sessions and providing any customary “comfort letters” and (b) providing customary management representation letters to such auditors to the extent required in connection with such comfort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providing customary cooperation with the due diligence process of the applicable financing sources as reasonably requested by onsemi, including participating upon reasonable prior notice and after prior consultation, at agreed times, in a reasonable number of virtual due diligence sessions, and cooperating with the customary marketing efforts of onsemi, in each case, in connection with any financing;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assist onsemi in connection with the preparation and execution of the definitive documents in respect of the financing, including assistance with preparation of disclosure schedules and the pledge of collateral and the grant of security (which pledge and grant shall not be effective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executing and delivering or providing, as applicable, customary evidence of authority, customary officer’s certificates and customary insurance certificates, in each case, as reasonably requested by onsemi and the financing sources;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taking corporate or other organizational actions reasonably requested by onsemi in connection with the consummation of financing (which actions shall not be effective prior to the effective time);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furnishing to onsemi at least four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onsemi in writing at least nine business days prior to closing date.</w:t>
            </w:r>
          </w:p>
        </w:tc>
      </w:tr>
    </w:tbl>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Notwithstanding the above, Synaptics and its subsidiaries will not be required to: </w:t>
      </w:r>
    </w:p>
    <w:tbl>
      <w:tblPr>
        <w:tblW w:w="7120" w:type="dxa"/>
        <w:jc w:val="left"/>
        <w:tblInd w:w="0" w:type="dxa"/>
        <w:tblLayout w:type="fixed"/>
        <w:tblCellMar>
          <w:top w:w="0" w:type="dxa"/>
          <w:left w:w="0" w:type="dxa"/>
          <w:bottom w:w="0" w:type="dxa"/>
          <w:right w:w="0" w:type="dxa"/>
        </w:tblCellMar>
      </w:tblPr>
      <w:tblGrid>
        <w:gridCol w:w="110"/>
        <w:gridCol w:w="7010"/>
      </w:tblGrid>
      <w:tr>
        <w:trPr/>
        <w:tc>
          <w:tcPr>
            <w:tcW w:w="110" w:type="dxa"/>
            <w:tcBorders/>
            <w:vAlign w:val="center"/>
          </w:tcPr>
          <w:p>
            <w:pPr>
              <w:pStyle w:val="TableContents"/>
              <w:bidi w:val="0"/>
              <w:spacing w:before="0" w:after="0"/>
              <w:jc w:val="left"/>
              <w:rPr>
                <w:color w:val="000000"/>
              </w:rPr>
            </w:pPr>
            <w:r>
              <w:rPr>
                <w:color w:val="000000"/>
              </w:rPr>
              <w:t>•</w:t>
            </w:r>
          </w:p>
        </w:tc>
        <w:tc>
          <w:tcPr>
            <w:tcW w:w="701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become an issuer or an obligor with respect to the financing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cause any director, officer, member, partner, accountant, legal counsel, employee or other representative of Synaptics or any subsidiary to take or permit to take any action that could reasonably be expected to result in such person incurring any personal liability;</w:t>
            </w:r>
          </w:p>
        </w:tc>
      </w:tr>
    </w:tbl>
    <w:tbl>
      <w:tblPr>
        <w:tblW w:w="4360" w:type="dxa"/>
        <w:jc w:val="left"/>
        <w:tblInd w:w="0" w:type="dxa"/>
        <w:tblLayout w:type="fixed"/>
        <w:tblCellMar>
          <w:top w:w="0" w:type="dxa"/>
          <w:left w:w="0" w:type="dxa"/>
          <w:bottom w:w="0" w:type="dxa"/>
          <w:right w:w="0" w:type="dxa"/>
        </w:tblCellMar>
      </w:tblPr>
      <w:tblGrid>
        <w:gridCol w:w="110"/>
        <w:gridCol w:w="4250"/>
      </w:tblGrid>
      <w:tr>
        <w:trPr/>
        <w:tc>
          <w:tcPr>
            <w:tcW w:w="110" w:type="dxa"/>
            <w:tcBorders/>
            <w:vAlign w:val="center"/>
          </w:tcPr>
          <w:p>
            <w:pPr>
              <w:pStyle w:val="TableContents"/>
              <w:bidi w:val="0"/>
              <w:spacing w:before="0" w:after="0"/>
              <w:jc w:val="left"/>
              <w:rPr>
                <w:color w:val="000000"/>
              </w:rPr>
            </w:pPr>
            <w:r>
              <w:rPr>
                <w:color w:val="000000"/>
              </w:rPr>
              <w:t>•</w:t>
            </w:r>
          </w:p>
        </w:tc>
        <w:tc>
          <w:tcPr>
            <w:tcW w:w="42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waive or amend any terms of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 take or permit the taking of any action that would or could reasonably be expected to conflict with, violate or result in a default under any applicable law, fiduciary duty, or Company Material Contract (as defined in the Merger Agreement) (or other material contract binding on Synaptics) in each case existing as of the date hereof or (B) to provide access to or disclose information subject to any attorney-client, attorney work product or other legal privilege;</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7" w:name="ny20081083x2_defm14a_114-agreement_pg19"/>
        <w:bookmarkEnd w:id="16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adopt (or cause any of their respective employees, officers, directors, managers, partners or members to adopt) resolutions or consents to approve or authorize the financing or the execution of the agreements, documents and instruments pursuant to which the financing is obtained (it being acknowledged by onsemi that any such resolutions or consents shall be derived exclusively from the authority of the board of directors or other applicable governing body of the Synaptics and its subsidiaries as constituted after giving effect to the Closing);</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execute, deliver or enter into, or perform any agreement, document or instrument (other than customary authorization letters and management representation letters) in connection with the financing, in each case, that would be effective prior to the effective time and any such execution, delivery, entry into or performance will only be required of the respective directors, employees, officers and natural person managers, members and partners of Synaptics and its subsidiaries who retain their respective positions as of, and immediately after, the effective time (except in each case with respect to such customary authorization letters and management representation letters);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agree to any amendment to, change to, waiver of or modification of any contract that would be effective prior to the effective time;</w:t>
            </w:r>
          </w:p>
        </w:tc>
      </w:tr>
    </w:tbl>
    <w:tbl>
      <w:tblPr>
        <w:tblW w:w="6055" w:type="dxa"/>
        <w:jc w:val="left"/>
        <w:tblInd w:w="0" w:type="dxa"/>
        <w:tblLayout w:type="fixed"/>
        <w:tblCellMar>
          <w:top w:w="0" w:type="dxa"/>
          <w:left w:w="0" w:type="dxa"/>
          <w:bottom w:w="0" w:type="dxa"/>
          <w:right w:w="0" w:type="dxa"/>
        </w:tblCellMar>
      </w:tblPr>
      <w:tblGrid>
        <w:gridCol w:w="110"/>
        <w:gridCol w:w="5945"/>
      </w:tblGrid>
      <w:tr>
        <w:trPr/>
        <w:tc>
          <w:tcPr>
            <w:tcW w:w="110" w:type="dxa"/>
            <w:tcBorders/>
            <w:vAlign w:val="center"/>
          </w:tcPr>
          <w:p>
            <w:pPr>
              <w:pStyle w:val="TableContents"/>
              <w:bidi w:val="0"/>
              <w:spacing w:before="0" w:after="0"/>
              <w:jc w:val="left"/>
              <w:rPr>
                <w:color w:val="000000"/>
              </w:rPr>
            </w:pPr>
            <w:r>
              <w:rPr>
                <w:color w:val="000000"/>
              </w:rPr>
              <w:t>•</w:t>
            </w:r>
          </w:p>
        </w:tc>
        <w:tc>
          <w:tcPr>
            <w:tcW w:w="59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provide any indemnity that would be effective prior to the effective time;</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 that would or could reasonably be expected to conflict with or violate any charter or other organizational documents of Synaptics or any of its subsidiaries as in effect on the date of the Merger Agreement;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prepare or furnish (A) pro forma financial statements, (B) any financial statements, analyses or information not prepared in the ordinary course of its financial reporting practice or (C) forecasts, projections or legal opinions;</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the closing to fail to be satisfied;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take or permit the taking of any actions that would or could reasonably be expected to unreasonably interfere with the business or operations of Synaptics or any subsidiary thereof; or</w:t>
            </w:r>
          </w:p>
        </w:tc>
      </w:tr>
    </w:tbl>
    <w:tbl>
      <w:tblPr>
        <w:tblW w:w="4255" w:type="dxa"/>
        <w:jc w:val="left"/>
        <w:tblInd w:w="0" w:type="dxa"/>
        <w:tblLayout w:type="fixed"/>
        <w:tblCellMar>
          <w:top w:w="0" w:type="dxa"/>
          <w:left w:w="0" w:type="dxa"/>
          <w:bottom w:w="0" w:type="dxa"/>
          <w:right w:w="0" w:type="dxa"/>
        </w:tblCellMar>
      </w:tblPr>
      <w:tblGrid>
        <w:gridCol w:w="110"/>
        <w:gridCol w:w="4145"/>
      </w:tblGrid>
      <w:tr>
        <w:trPr/>
        <w:tc>
          <w:tcPr>
            <w:tcW w:w="110" w:type="dxa"/>
            <w:tcBorders/>
            <w:vAlign w:val="center"/>
          </w:tcPr>
          <w:p>
            <w:pPr>
              <w:pStyle w:val="TableContents"/>
              <w:bidi w:val="0"/>
              <w:spacing w:before="0" w:after="0"/>
              <w:jc w:val="left"/>
              <w:rPr>
                <w:color w:val="000000"/>
              </w:rPr>
            </w:pPr>
            <w:r>
              <w:rPr>
                <w:color w:val="000000"/>
              </w:rPr>
              <w:t>•</w:t>
            </w:r>
          </w:p>
        </w:tc>
        <w:tc>
          <w:tcPr>
            <w:tcW w:w="414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change any fiscal period prior to the effective time.</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Additionally, Synaptics consents to the reasonable use of its logos in connection with the financing. Upon written request, onsemi will reimburse Synaptics for reasonable and documented out-of-pocket and costs in connection with the financing cooperation. onsemi will also indemnify Synaptics, subject to customary exceptions, in connection with the financing.</w:t>
      </w:r>
    </w:p>
    <w:p>
      <w:pPr>
        <w:pStyle w:val="TextBody"/>
        <w:bidi w:val="0"/>
        <w:spacing w:before="28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Financing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onsemi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of the debt commitment letter, dated as of October 1, 2026, between onsemi and the financing sources party thereto (the “debt commitment letter”). onsemi shall not amend, restate, supplement or modify, replace (or replace any commitment under), or grant any consent or waive any provision under, the debt commitment letter or the definitive financing documents, in whole or in part, without the prior written consent of Synaptics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onsemi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onsemi to enforce its rights against the other parties to the debt commitment letter or the definitive financing documents; provided that onsemi may amend, restate, modify or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8" w:name="ny20081083x2_defm14a_114-agreement_pg20"/>
        <w:bookmarkEnd w:id="1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supplement the debt commitment letter or the definitive financing documents solely to add lenders, lead arrangers, bookrunners, underwriters, syndication agents or similar entities that have not executed the debt commitment letter as of the date of the Merger Agreement without Synaptics’ consent as long as executed copies are promptly furnished to Synaptics.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portion of the committed financing necessary to pay the required amounts becomes unavailable prior to closing, onsemi shall arrange alternative financing, subject to certain conditions and provide Synaptics with executed copies of such alternative financing documents. onsemi shall keep Synaptics’ reasonably informed upon Synpatics' written request of the status of its efforts to arrange the financing.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Other Covenants and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contains certain other covenants and agreements of the parties, including covenants and agreements relating to, among other things and subject to certain exceptions and qualifications set forth in the Merger Agreement: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provision by Synaptics to onsemi and its representatives, upon reasonable prior notice, of reasonable access during normal business hours prior to the effective time to Synaptics’ and its subsidiaries’ personnel, properties, contracts, books and records and other information, and reasonable cooperation with onsemi’s post-closing integration planning, in each case subject to specified confidentiality, privilege and other limitations;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consultation between the parties with respect to, and mutual consent to, public announcements regarding the Merger, and the treatment of information exchanged between the parties as confidential in accordance with their existing non-disclosure and related agreements;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between the parties in the preparation and filing of the proxy statement and in responding to the SEC comment process;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keeping onsemi reasonably informed regarding, and providing onsemi the opportunity to participate (at onsemi’s expense) in the defense and settlement of, any stockholder litigation relating to the Merger, and not settling any such litigation without onsemi’s prior written consent (not to be unreasonably withheld, conditioned or delayed with respect to settlements requiring only the payment of money);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actions to be taken by the onsemi and Synaptics boards to cause dispositions of Synaptics equity securities and acquisitions of onsemi equity securities in connection with the Merger by directors and officers to be exempt under Rule 16b-3 promulgated under the Exchange Act;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delivery by Synaptics, if requested by onsemi at least five business days before the closing, of resignations of the directors and officers of Synaptics and its subsidiaries, effective as of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taking of actions to render inapplicable any anti-takeover statute or regulation that becomes applicable to the transactions; </w:t>
            </w:r>
          </w:p>
        </w:tc>
      </w:tr>
    </w:tbl>
    <w:tbl>
      <w:tblPr>
        <w:tblW w:w="9595" w:type="dxa"/>
        <w:jc w:val="left"/>
        <w:tblInd w:w="0" w:type="dxa"/>
        <w:tblLayout w:type="fixed"/>
        <w:tblCellMar>
          <w:top w:w="0" w:type="dxa"/>
          <w:left w:w="0" w:type="dxa"/>
          <w:bottom w:w="0" w:type="dxa"/>
          <w:right w:w="0" w:type="dxa"/>
        </w:tblCellMar>
      </w:tblPr>
      <w:tblGrid>
        <w:gridCol w:w="110"/>
        <w:gridCol w:w="9485"/>
      </w:tblGrid>
      <w:tr>
        <w:trPr/>
        <w:tc>
          <w:tcPr>
            <w:tcW w:w="110" w:type="dxa"/>
            <w:tcBorders/>
            <w:vAlign w:val="center"/>
          </w:tcPr>
          <w:p>
            <w:pPr>
              <w:pStyle w:val="TableContents"/>
              <w:bidi w:val="0"/>
              <w:spacing w:before="0" w:after="0"/>
              <w:jc w:val="left"/>
              <w:rPr>
                <w:color w:val="000000"/>
              </w:rPr>
            </w:pPr>
            <w:r>
              <w:rPr>
                <w:color w:val="000000"/>
              </w:rPr>
              <w:t>•</w:t>
            </w:r>
          </w:p>
        </w:tc>
        <w:tc>
          <w:tcPr>
            <w:tcW w:w="948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cooperation with respect to the delisting and deregistration of Synaptics common stock following the effective time;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operation of Merger Sub, which will not engage in any activities other than those incident to the Merger, and onsemi’s agreement to cause Merger Sub to perform its obligations under the Merger Agreement (for which onsemi is jointly and severally liable);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notification by each party of certain events, including the discovery that any representation or warranty has become untrue or of any failure to comply with any covenant, in each case such that a closing condition would reasonably be expected to fail to be satisfied;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further assurances and the taking of such other actions as may be reasonably necessary to consummate the Merger and the other transactions contemplated by the Merger Agreement.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69" w:name="ny20081083x2_defm14a_114-agreement_pg21"/>
        <w:bookmarkEnd w:id="1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bookmarkStart w:id="170" w:name="tCMA"/>
      <w:bookmarkEnd w:id="170"/>
      <w:r>
        <w:rPr>
          <w:rFonts w:ascii="Times New Roman;Times;serif" w:hAnsi="Times New Roman;Times;serif"/>
          <w:b/>
          <w:i/>
          <w:color w:val="000000"/>
          <w:sz w:val="20"/>
        </w:rPr>
        <w:t xml:space="preserve">Conditions to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respective obligations of Synaptics, onsemi and Merger Sub to complete the Merger are subject to the satisfaction or waiver (in whole or in part, to the extent permitted by applicable law), at or prior to the closing, of the following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adoption of the Merger Agreement having been approved by the affirmative vote of the holders of a majority of the issued and outstanding shares of Synaptics common stock entitled to vote (the required Synaptics stockholder vote);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expiration or termination of any applicable waiting period (and any agreed extension of any waiting period or commitment not to consummate the Merger) under specified antitrust laws, the absence of any pending agreement between onsemi and any governmental entity not to consummate the Merger, and the receipt and continued effectiveness of any required governmental authorizations under those specified antitrust laws and any specified foreign direct investment laws;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absence of any law or order entered, issued or adopted by a court or other governmental entity of competent jurisdiction (in specified jurisdictions) that remains in effect and prevents, enjoins or makes illegal the consummation of the Merger.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onsemi and Merger Sub to complete the Merger is subject to the satisfaction or waiver by onsemi,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Synaptics’ representations and warranties in the Merger Agreement, as of the date of the Merger Agreement and as of the closing date (subject to specified materiality, “de minimis” and Company Material Adverse Effect standards that vary by category of representation, and disregarding certain materiality and Company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complied with or performed in all material respects all of its obligations, covenants and agreements required to be complied with or performed by it at or prior to the closing;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since the date of the Merger Agreement, there not having occurred any Company Material Adverse Effect that is continuing;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received a certificate, dated as of the closing date and executed by the chief executive officer or chief financial officer of Synaptics, confirming that the three preceding conditions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obligation of Synaptics to complete the Merger is subject to the satisfaction or waiver by Synaptics, at or prior to the closing, of the following additional conditions: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accuracy of the representations and warranties of onsemi and Merger Sub in the Merger Agreement, as of the date of the Merger Agreement and as of the closing date (subject to specified materiality, “de minimis” and Parent Material Adverse Effect standards that vary by category of representation, and disregarding certain materiality and Parent Material Adverse Effect qualifiers for that purpose);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onsemi having complied with or performed in all material respects all of its obligations, covenants and agreements required to be complied with or performed by it at or prior to the closing;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Synaptics having received a certificate, dated as of the closing date and executed by the chief executive officer or chief financial officer of onsemi, confirming that the two preceding conditions have been satisfied.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Neither Synaptics nor onsemi can give any assurance as to when or whether all of the conditions to the Merger will be satisfied or waived or that the Merger will be completed. </w:t>
      </w:r>
    </w:p>
    <w:p>
      <w:pPr>
        <w:pStyle w:val="TextBody"/>
        <w:bidi w:val="0"/>
        <w:spacing w:before="240" w:after="283"/>
        <w:ind w:left="0" w:right="0" w:hanging="0"/>
        <w:jc w:val="left"/>
        <w:rPr>
          <w:rFonts w:ascii="Times New Roman;Times;serif" w:hAnsi="Times New Roman;Times;serif"/>
          <w:b/>
          <w:i/>
          <w:color w:val="000000"/>
          <w:sz w:val="20"/>
        </w:rPr>
      </w:pPr>
      <w:bookmarkStart w:id="171" w:name="tATMA"/>
      <w:bookmarkEnd w:id="171"/>
      <w:r>
        <w:rPr>
          <w:rFonts w:ascii="Times New Roman;Times;serif" w:hAnsi="Times New Roman;Times;serif"/>
          <w:b/>
          <w:i/>
          <w:color w:val="000000"/>
          <w:sz w:val="20"/>
        </w:rPr>
        <w:t xml:space="preserve">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terminated, and the Merger abandoned, at any time prior to the effective time in the following circumstances: </w:t>
      </w:r>
    </w:p>
    <w:tbl>
      <w:tblPr>
        <w:tblW w:w="4375" w:type="dxa"/>
        <w:jc w:val="left"/>
        <w:tblInd w:w="0" w:type="dxa"/>
        <w:tblLayout w:type="fixed"/>
        <w:tblCellMar>
          <w:top w:w="0" w:type="dxa"/>
          <w:left w:w="0" w:type="dxa"/>
          <w:bottom w:w="0" w:type="dxa"/>
          <w:right w:w="0" w:type="dxa"/>
        </w:tblCellMar>
      </w:tblPr>
      <w:tblGrid>
        <w:gridCol w:w="110"/>
        <w:gridCol w:w="4265"/>
      </w:tblGrid>
      <w:tr>
        <w:trPr/>
        <w:tc>
          <w:tcPr>
            <w:tcW w:w="110" w:type="dxa"/>
            <w:tcBorders/>
            <w:vAlign w:val="center"/>
          </w:tcPr>
          <w:p>
            <w:pPr>
              <w:pStyle w:val="TableContents"/>
              <w:bidi w:val="0"/>
              <w:spacing w:before="0" w:after="0"/>
              <w:jc w:val="left"/>
              <w:rPr>
                <w:color w:val="000000"/>
              </w:rPr>
            </w:pPr>
            <w:r>
              <w:rPr>
                <w:color w:val="000000"/>
              </w:rPr>
              <w:t>•</w:t>
            </w:r>
          </w:p>
        </w:tc>
        <w:tc>
          <w:tcPr>
            <w:tcW w:w="42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by mutual written consent of onsemi and Synaptics;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Merger has not been consummated by 11:59 p.m., Pacific time, on the End Date, subject to automatic three-month extensions (up to three times) if, as of the then-current End Date, the antitrust or foreign direct investment-related conditions (or a related legal restraint) have not been satisfied but all other closing conditions have been satisfied or waived; provided, that, if the satisfaction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2" w:name="ny20081083x2_defm14a_114-agreement_pg22"/>
        <w:bookmarkEnd w:id="1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80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waiver of the last condition (other than those conditions that by their nature can only be satisfied at the closing, but subject to the satisfaction or waiver of such conditions at the closing) occurs less than five business days prior to the End Date, the End Date shall be deemed extended to the date that is five business days following the date of satisfaction or waiver of the last condition; provided further, that this termination right is not available to a party whose material breach of the Merger Agreement was the primary cause of the failure to close by the End Date;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certain legal restraints permanently preventing, enjoining or making illegal the consummation of the Merger have become final and non-appealable, so long as the terminating party has used reasonable best efforts to prevent the entry of, and to remove, that legal restraint in accordance with its regulatory-efforts covenant, and subject to a similar “primary cause” limitation with respect to breaches of that covenant;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at any time prior to obtaining the required Synaptics stockholder vote, if the Synaptics board has failed to include its recommendation in this proxy statement or has made a Synaptics Change in Recommendation;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at any time prior to obtaining the required Synaptics stockholder vote, in order to enter into a definitive agreement with respect to a Superior Proposal, if (i) the Synaptics board has authorized Synaptics to enter into that agreement, (ii) concurrently with the termination Synaptics enters into that agreement and pays onsemi the Synaptics termination fee, and (iii) Synaptics has otherwise complied in all material respects with the non-solicitation and change-in-recommendation provisions of the Merger Agreement;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onsemi or Synaptics, if the Synaptics stockholder meeting (including any adjournments and postponements) has been held and completed and the required Synaptics stockholder vote has not been obtained;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if Synaptics has breached or failed to perform any of its representations, warranties, covenants or agreements such that the related closing condition would not be satisfied, subject to a 30-day cure period for curable breaches and to onsemi not then being in breach in a manner that would cause the corresponding Synaptics closing condition to fail; and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if onsemi or Merger Sub has breached or failed to perform any of its representations, warranties, covenants or agreements such that the related closing condition would not be satisfied, subject to a 30-day cure period for curable breaches and to Synaptics not then being in breach in a manner that would cause the corresponding onsemi closing condition to fail.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party seeking to terminate the Merger Agreement must give written notice of the termination to the other parties, specifying the provision pursuant to which the termination is effected. The Merger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the event of a valid termination of the Merger Agreement, the Merger Agreement will be of no further force or effect, with no liability on the part of any party (or any of its representatives or affiliates), except that certain provisions relating to termination fees, confidentiality, applicable law, specific performance and certain other miscellaneous matters will survive termination, and no termination will relieve any party from liability for fraud or any intentional and material breach of the Merger Agreement. The Non-Disclosure Agreement, the Clean Team Agreement and the Joint Defense Agreement entered into between the parties in connection with the transaction will not be affected by a termination of the Merger Agreement and will survive in accordance with their respective terms. </w:t>
      </w:r>
    </w:p>
    <w:p>
      <w:pPr>
        <w:pStyle w:val="TextBody"/>
        <w:bidi w:val="0"/>
        <w:spacing w:before="410" w:after="283"/>
        <w:ind w:left="0" w:right="0" w:hanging="0"/>
        <w:jc w:val="left"/>
        <w:rPr>
          <w:rFonts w:ascii="Times New Roman;Times;serif" w:hAnsi="Times New Roman;Times;serif"/>
          <w:b/>
          <w:i/>
          <w:color w:val="000000"/>
          <w:sz w:val="20"/>
        </w:rPr>
      </w:pPr>
      <w:bookmarkStart w:id="173" w:name="tATE"/>
      <w:bookmarkEnd w:id="173"/>
      <w:r>
        <w:rPr>
          <w:rFonts w:ascii="Times New Roman;Times;serif" w:hAnsi="Times New Roman;Times;serif"/>
          <w:b/>
          <w:i/>
          <w:color w:val="000000"/>
          <w:sz w:val="20"/>
        </w:rPr>
        <w:t xml:space="preserve">Termination Fees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Synaptics will be required to pay onsemi the Synaptics termination fee if the Merger Agreement is terminated in specified circumstances. In particular, Synaptics must pay the Synaptics termination fee if the Merger Agreement is terminated: </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Synaptics, in order to enter into a definitive agreement with respect to a Superior Proposal (in which case the fee is payable at or prior to the termination);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onsemi, because the Synaptics board failed to include its recommendation in this proxy statement or made a Synaptics Change in Recommendation; or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4" w:name="ny20081083x2_defm14a_114-agreement_pg23"/>
        <w:bookmarkEnd w:id="174"/>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by either party as a result of the failure to consummate the Merger by the End Date or the failure to obtain the required Synaptics stockholder vote, at a time when onsemi would have been entitled to terminate the Merger Agreement because the Synaptics board failed to include its recommendation in this proxy statement or made a Synaptics Change in Recommendation (in which case the fee is payable within two business days after termination).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Synaptics must pay the Synaptics termination fee if: (i) the Merger Agreement is terminated by either party because the required Synaptics stockholder vote was not obtained at a completed stockholder meeting, or by onsemi because of a breach of representations, warranties, covenants or agreements by Synaptics that would cause a related closing condition to fail (or by either party following the End Date at a time when the Merger Agreement could have been terminated on either of those grounds); (ii) after the date of the Merger Agreement and at or prior to the Synaptics stockholder meeting (or the time of the relevant breach, as applicable), a Company Acquisition Proposal was publicly announced or disclosed and had not been withdrawn without qualification at least five business days before the stockholder meeting (or the time of the breach, as applicable); and (iii) within 12 months after the termination, Synaptics consummates, or enters into a definitive agreement providing for, a Company Acquisition Transaction (with all references to “20%” in the definition of Acquisition Transaction treated as “50%” for this purpose). In that case, the Synaptics termination fee is payable upon the earlier of the consummation of, or entry into a definitive agreement for, such a Company Acquisition Transaction.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also provides that onsemi will be required to pay Synaptics the onsemi Regulatory Termination Fee if the Merger Agreement is terminated in specified circumstances relating to the failure to obtain the required antitrust or foreign direct investment approvals. Specifically, onsemi must pay the onsemi Regulatory Termination Fee, within two business days after termination, if the Merger Agreement is terminated: (i) by either party following the End Date, or by either party as a result of a final and non-appealable legal restraint relating to specified antitrust or foreign direct investment matters, in each case at a time when the only unsatisfied closing conditions (other than those to be satisfied at the closing) are the specified antitrust and related foreign direct investment conditions; or (ii) by Synaptics as a result of onsemi’s or Merger Sub’s material breach of its regulatory-efforts covenant that causes those antitrust and related foreign direct investment conditions to be incapable of being satisfied by the End Date. The onsemi Regulatory Termination Fee is not payable, however, if Synaptics has materially breached its own obligations under the regulatory-efforts covenant relating to those matters and that breach was the primary cause of the failure of the antitrust and related foreign direct investment conditions to be satisfied by the End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termination fee is payable only once and not in duplication, and if a party fails to pay a termination fee when due, it will also be required to pay interest on the overdue amount at the prime rate and the other party’s costs and expenses of collection. If the Synaptics termination fee is paid, it will generally be onsemi’s sole and exclusive monetary remedy against Synaptics and its affiliates and representatives in connection with the Merger Agreement, and if the onsemi regulatory termination fee is paid, it will generally be Synaptics’ sole and exclusive monetary remedy against onsemi, Merger Sub and their affiliates and representatives and Financing Related Parties (as defined in the Merger Agreement), in each case except that payment of the applicable fee will not relieve the paying party from liability for the Financing Indemnity (as defined in the Merger Agreement) or any fraud or any intentional and material breach of the Merger Agreement and will not limit the parties’ rights to specific performance or other injunctive relief prior to termination.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Effect of Termination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Agreement is validly terminated in accordance with its terms, it will become void and of no further force or effect, and there will be no liability on the part of any party (or any of its representatives or affiliates), except that (i) specified provisions of the Merger Agreement—including the confidentiality-related provisions, the provisions regarding the effect of termination, the termination fee provisions and the general miscellaneous provisions—will survive the termination and remain in full force and effect, and (ii) no party will be relieved of liability for fraud or any intentional and material breach of the Merger Agreement. For this purpose, an “intentional and material breach” means a material breach that is a consequence of an act undertaken by the breaching party with the knowledge that the taking of such act, or failure to act, would, or would reasonably be expected to, result in a material breach of the Merger Agreement. In addition, the Non-Disclosure Agreement, the Clean Team Agreement and the Joint Defense Agreement will not be affected by a termination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termination fee provisions described above under “—Termination Fees” will survive any termination of the Merger Agreement, and, as described in that section, the payment of the applicable termination fee, if it becomes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5" w:name="ny20081083x2_defm14a_114-agreement_pg24"/>
        <w:bookmarkEnd w:id="17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payable, will generally be the receiving party’s sole and exclusive monetary remedy in connection with the Merger Agreement, subject to the carve-outs for fraud and intentional and material breach. Prior to any termination of the Merger Agreement, the parties will also be entitled to seek specific performance and other injunctive or equitable relief to prevent breaches of, and to enforce the terms of, the Merger Agreement, in addition to any other remedy to which they are entitled at law or in equity.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Payment of Expenses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whether or not the Merger is consummated, each party will pay its own expenses incident to preparing for, entering into and carrying out the Merger Agreement and the transactions contemplated by it, except that onsemi will pay all filing fees under the HSR Act and any other applicable antitrust laws. These provisions are in addition to, and do not limit, the parties’ respective obligations to pay the termination fees described above under “—Termination Fees” in the circumstances specified in the Merger Agreement. </w:t>
      </w:r>
    </w:p>
    <w:p>
      <w:pPr>
        <w:pStyle w:val="TextBody"/>
        <w:bidi w:val="0"/>
        <w:spacing w:before="240" w:after="283"/>
        <w:ind w:left="0" w:right="0" w:hanging="0"/>
        <w:jc w:val="left"/>
        <w:rPr>
          <w:rFonts w:ascii="Times New Roman;Times;serif" w:hAnsi="Times New Roman;Times;serif"/>
          <w:b/>
          <w:i/>
          <w:color w:val="000000"/>
          <w:sz w:val="20"/>
        </w:rPr>
      </w:pPr>
      <w:bookmarkStart w:id="176" w:name="tARW"/>
      <w:bookmarkEnd w:id="176"/>
      <w:r>
        <w:rPr>
          <w:rFonts w:ascii="Times New Roman;Times;serif" w:hAnsi="Times New Roman;Times;serif"/>
          <w:b/>
          <w:i/>
          <w:color w:val="000000"/>
          <w:sz w:val="20"/>
        </w:rPr>
        <w:t xml:space="preserve">Amendments, Remedies and Waivers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may be amended at any time prior to the effective time (whether before or after the required Synaptics stockholder vote has been obtained) by an instrument in writing signed on behalf of each of the parties; provided that, after the required Synaptics stockholder vote has been obtained, no amendment may be made that by applicable law or the rules of Nasdaq requires further approval of Synaptics stockholders without obtaining that approval.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party entitled to the benefit of any obligation, covenant, agreement or condition of the Merger Agreement may waive such provision, but only by a written instrument signed by the party granting such waiver, and any such waiver will be effective only in the specific instance in which it is given. No failure or delay by any party in exercising any power, right, privilege or remedy under the Merger Agreement will operate as a waiver of that power, right, privilege or remedy, and no single or partial exercise of any such power, right, privilege or remedy will preclude any other or further exercise of it or of any other power, right, privilege or remedy.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agreed that irreparable damage would occur, and that money damages would not be an adequate remedy, if any provision of the Merger Agreement were not performed in accordance with its specific terms or were otherwise breached. Accordingly, in addition to any other remedy available at law or in equity, prior to any termination of the Merger Agreement each party will be entitled to seek specific performance to enforce the observance and performance of the covenants and obligations of the Merger Agreement and to an injunction to prevent breaches or threatened breaches, in each case without being required to prove the inadequacy of money damages or to post any bond or other security. These remedies are cumulative and, except as otherwise provided in the Merger Agreement (including the provisions making a termination fee, if it becomes payable, the receiving party’s sole and exclusive monetary remedy), are in addition to any other remedies the parties may have under the Merger Agreement, at law or in equity. The Merger Agreement is not intended to confer any rights or remedies on any person other than the parties to it, except for specified provisions, including the right of Synaptics stockholders to receive the Merger Consideration following the effective time and the rights of the indemnified parties under the directors’ and officers’ indemnification provisions described above.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Applicable Law;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is governed by, and will be construed and enforced in accordance with, the laws of the State of Delaware applicable to agreements made and to be performed solely within that state (including its procedural laws and laws relating to the statute of limitations), without giving effect to any conflict-of-laws principle that would result in the application of the law of another jurisdiction.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of the parties has agreed to submit to the exclusive personal jurisdiction of the Court of Chancery of the State of Delaware or, if that court does not have jurisdiction, a federal court sitting in the State of Delaware, in any action or proceeding arising out of or relating to the Merger Agreement or the transactions contemplated by it, and has agreed that all claims in respect of any such action or proceeding will be heard and determined in such courts. Each party has also agreed not to bring any such action or proceeding in any other court, not to attempt to deny or defeat such personal jurisdiction by motion or other request for leave from any such court, has waived any defense of inconvenient forum, and has waived any requirement that any other person post a bond, surety or other security in connection with any such action or proceeding.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each of the parties has irrevocably waived, to the fullest extent permitted by applicable law, its right to a trial by jury in any litigation directly or indirectly arising out of, under or in connection with the Merger Agreement or the transactions contemplated by it.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7" w:name="ny20081083x2_defm14a_115-tax_pg1"/>
        <w:bookmarkEnd w:id="17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78" w:name="tUSF"/>
      <w:bookmarkEnd w:id="178"/>
      <w:r>
        <w:rPr>
          <w:rFonts w:ascii="Times New Roman;Times;serif" w:hAnsi="Times New Roman;Times;serif"/>
          <w:b/>
          <w:color w:val="000000"/>
          <w:sz w:val="20"/>
        </w:rPr>
        <w:t xml:space="preserve">U.S. FEDERAL INCOME TAX CONSEQUENCES OF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discussion addresses the U.S. federal income tax consequences of the Merger to U.S. holders (as defined below) of shares of Synaptics common stock that exchange their shares of Synaptics common stock for cash in the Merger. The discussion is based on the provisions of the Code, U.S. Treasury regulations promulgated thereunder, administrative rulings and judicial decisions, all as currently in effect as of the date hereof and all of which are subject to change (possibly with retroactive effect) and differing interpretations. Any such change or differing interpretation could affect the accuracy of the statements and conclusions set forth in this proxy statement. Tax considerations arising under foreign, state or local laws, or U.S. federal laws other than those pertaining to U.S. federal income tax (such as estate or gift tax laws), are not addressed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discussion, the term “U.S. holder” refers to a beneficial owner of Synaptics common stock that is, for U.S. federal income tax purposes: </w:t>
      </w:r>
    </w:p>
    <w:tbl>
      <w:tblPr>
        <w:tblW w:w="4465" w:type="dxa"/>
        <w:jc w:val="left"/>
        <w:tblInd w:w="0" w:type="dxa"/>
        <w:tblLayout w:type="fixed"/>
        <w:tblCellMar>
          <w:top w:w="0" w:type="dxa"/>
          <w:left w:w="0" w:type="dxa"/>
          <w:bottom w:w="0" w:type="dxa"/>
          <w:right w:w="0" w:type="dxa"/>
        </w:tblCellMar>
      </w:tblPr>
      <w:tblGrid>
        <w:gridCol w:w="110"/>
        <w:gridCol w:w="4355"/>
      </w:tblGrid>
      <w:tr>
        <w:trPr/>
        <w:tc>
          <w:tcPr>
            <w:tcW w:w="110" w:type="dxa"/>
            <w:tcBorders/>
            <w:vAlign w:val="center"/>
          </w:tcPr>
          <w:p>
            <w:pPr>
              <w:pStyle w:val="TableContents"/>
              <w:bidi w:val="0"/>
              <w:spacing w:before="0" w:after="0"/>
              <w:jc w:val="left"/>
              <w:rPr>
                <w:color w:val="000000"/>
              </w:rPr>
            </w:pPr>
            <w:r>
              <w:rPr>
                <w:color w:val="000000"/>
              </w:rPr>
              <w:t>•</w:t>
            </w:r>
          </w:p>
        </w:tc>
        <w:tc>
          <w:tcPr>
            <w:tcW w:w="435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individual citizen or resident of the United States;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corporation (or other entity treated as a corporation for U.S. federal income tax purposes) created or organized in or under the laws of the United States or any of its political subdivisions;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a trust if (i) a court within the United States is able to exercise primary supervision over the administration of the trust and one or more United States persons (as defined in the Code) have the authority to control all substantial decisions of the trust or (ii) such trust has made a valid election under applicable U.S. Treasury regulations to be treated as a U.S. person; or </w:t>
            </w:r>
          </w:p>
        </w:tc>
      </w:tr>
    </w:tbl>
    <w:tbl>
      <w:tblPr>
        <w:tblW w:w="7660" w:type="dxa"/>
        <w:jc w:val="left"/>
        <w:tblInd w:w="0" w:type="dxa"/>
        <w:tblLayout w:type="fixed"/>
        <w:tblCellMar>
          <w:top w:w="0" w:type="dxa"/>
          <w:left w:w="0" w:type="dxa"/>
          <w:bottom w:w="0" w:type="dxa"/>
          <w:right w:w="0" w:type="dxa"/>
        </w:tblCellMar>
      </w:tblPr>
      <w:tblGrid>
        <w:gridCol w:w="110"/>
        <w:gridCol w:w="7550"/>
      </w:tblGrid>
      <w:tr>
        <w:trPr/>
        <w:tc>
          <w:tcPr>
            <w:tcW w:w="110" w:type="dxa"/>
            <w:tcBorders/>
            <w:vAlign w:val="center"/>
          </w:tcPr>
          <w:p>
            <w:pPr>
              <w:pStyle w:val="TableContents"/>
              <w:bidi w:val="0"/>
              <w:spacing w:before="0" w:after="0"/>
              <w:jc w:val="left"/>
              <w:rPr>
                <w:color w:val="000000"/>
              </w:rPr>
            </w:pPr>
            <w:r>
              <w:rPr>
                <w:color w:val="000000"/>
              </w:rPr>
              <w:t>•</w:t>
            </w:r>
          </w:p>
        </w:tc>
        <w:tc>
          <w:tcPr>
            <w:tcW w:w="755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an estate that is subject to U.S. federal income taxation on its income regardless of its source.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discussion applies only to U.S. holders of Synaptics common stock that hold their shares of Synaptics common stock as a capital asset within the meaning of Section 1221 of the Code (generally, property held for investment). This discussion is not a complete description of all of the tax consequences of the Merger and, in particular, does not address any consequences arising under any alternative or other minimum tax, the 3.8% Medicare tax on net investment income or the Foreign Account Tax Compliance Act of 2010 (including the U.S. Treasury regulations promulgated thereunder and intergovernmental agreements entered into pursuant thereto or in connection therewith). This discussion also does not address all aspects of U.S. federal taxation that may be relevant to a particular U.S. holder in light of its personal circumstances or to U.S. holders subject to special treatment under the U.S. federal income tax laws, including, for example: </w:t>
      </w:r>
    </w:p>
    <w:tbl>
      <w:tblPr>
        <w:tblW w:w="6640" w:type="dxa"/>
        <w:jc w:val="left"/>
        <w:tblInd w:w="0" w:type="dxa"/>
        <w:tblLayout w:type="fixed"/>
        <w:tblCellMar>
          <w:top w:w="0" w:type="dxa"/>
          <w:left w:w="0" w:type="dxa"/>
          <w:bottom w:w="0" w:type="dxa"/>
          <w:right w:w="0" w:type="dxa"/>
        </w:tblCellMar>
      </w:tblPr>
      <w:tblGrid>
        <w:gridCol w:w="110"/>
        <w:gridCol w:w="6530"/>
      </w:tblGrid>
      <w:tr>
        <w:trPr/>
        <w:tc>
          <w:tcPr>
            <w:tcW w:w="110" w:type="dxa"/>
            <w:tcBorders/>
            <w:vAlign w:val="center"/>
          </w:tcPr>
          <w:p>
            <w:pPr>
              <w:pStyle w:val="TableContents"/>
              <w:bidi w:val="0"/>
              <w:spacing w:before="0" w:after="0"/>
              <w:jc w:val="left"/>
              <w:rPr>
                <w:color w:val="000000"/>
              </w:rPr>
            </w:pPr>
            <w:r>
              <w:rPr>
                <w:color w:val="000000"/>
              </w:rPr>
              <w:t>•</w:t>
            </w:r>
          </w:p>
        </w:tc>
        <w:tc>
          <w:tcPr>
            <w:tcW w:w="65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banks, thrifts, mutual funds, insurance companies or other financial institutions;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partnerships, S corporations, or other pass-through entities (or investors in partnerships, S corporations, or other pass-through entities); </w:t>
            </w:r>
          </w:p>
        </w:tc>
      </w:tr>
    </w:tbl>
    <w:tbl>
      <w:tblPr>
        <w:tblW w:w="4840" w:type="dxa"/>
        <w:jc w:val="left"/>
        <w:tblInd w:w="0" w:type="dxa"/>
        <w:tblLayout w:type="fixed"/>
        <w:tblCellMar>
          <w:top w:w="0" w:type="dxa"/>
          <w:left w:w="0" w:type="dxa"/>
          <w:bottom w:w="0" w:type="dxa"/>
          <w:right w:w="0" w:type="dxa"/>
        </w:tblCellMar>
      </w:tblPr>
      <w:tblGrid>
        <w:gridCol w:w="110"/>
        <w:gridCol w:w="4730"/>
      </w:tblGrid>
      <w:tr>
        <w:trPr/>
        <w:tc>
          <w:tcPr>
            <w:tcW w:w="110" w:type="dxa"/>
            <w:tcBorders/>
            <w:vAlign w:val="center"/>
          </w:tcPr>
          <w:p>
            <w:pPr>
              <w:pStyle w:val="TableContents"/>
              <w:bidi w:val="0"/>
              <w:spacing w:before="0" w:after="0"/>
              <w:jc w:val="left"/>
              <w:rPr>
                <w:color w:val="000000"/>
              </w:rPr>
            </w:pPr>
            <w:r>
              <w:rPr>
                <w:color w:val="000000"/>
              </w:rPr>
              <w:t>•</w:t>
            </w:r>
          </w:p>
        </w:tc>
        <w:tc>
          <w:tcPr>
            <w:tcW w:w="473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tax-exempt organizations or governmental organizations; </w:t>
            </w:r>
          </w:p>
        </w:tc>
      </w:tr>
    </w:tbl>
    <w:tbl>
      <w:tblPr>
        <w:tblW w:w="5545" w:type="dxa"/>
        <w:jc w:val="left"/>
        <w:tblInd w:w="0" w:type="dxa"/>
        <w:tblLayout w:type="fixed"/>
        <w:tblCellMar>
          <w:top w:w="0" w:type="dxa"/>
          <w:left w:w="0" w:type="dxa"/>
          <w:bottom w:w="0" w:type="dxa"/>
          <w:right w:w="0" w:type="dxa"/>
        </w:tblCellMar>
      </w:tblPr>
      <w:tblGrid>
        <w:gridCol w:w="110"/>
        <w:gridCol w:w="5435"/>
      </w:tblGrid>
      <w:tr>
        <w:trPr/>
        <w:tc>
          <w:tcPr>
            <w:tcW w:w="110" w:type="dxa"/>
            <w:tcBorders/>
            <w:vAlign w:val="center"/>
          </w:tcPr>
          <w:p>
            <w:pPr>
              <w:pStyle w:val="TableContents"/>
              <w:bidi w:val="0"/>
              <w:spacing w:before="0" w:after="0"/>
              <w:jc w:val="left"/>
              <w:rPr>
                <w:color w:val="000000"/>
              </w:rPr>
            </w:pPr>
            <w:r>
              <w:rPr>
                <w:color w:val="000000"/>
              </w:rPr>
              <w:t>•</w:t>
            </w:r>
          </w:p>
        </w:tc>
        <w:tc>
          <w:tcPr>
            <w:tcW w:w="543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dealers or brokers in stocks, securities, commodities, or currencies; </w:t>
            </w:r>
          </w:p>
        </w:tc>
      </w:tr>
    </w:tbl>
    <w:tbl>
      <w:tblPr>
        <w:tblW w:w="6370" w:type="dxa"/>
        <w:jc w:val="left"/>
        <w:tblInd w:w="0" w:type="dxa"/>
        <w:tblLayout w:type="fixed"/>
        <w:tblCellMar>
          <w:top w:w="0" w:type="dxa"/>
          <w:left w:w="0" w:type="dxa"/>
          <w:bottom w:w="0" w:type="dxa"/>
          <w:right w:w="0" w:type="dxa"/>
        </w:tblCellMar>
      </w:tblPr>
      <w:tblGrid>
        <w:gridCol w:w="110"/>
        <w:gridCol w:w="6260"/>
      </w:tblGrid>
      <w:tr>
        <w:trPr/>
        <w:tc>
          <w:tcPr>
            <w:tcW w:w="110" w:type="dxa"/>
            <w:tcBorders/>
            <w:vAlign w:val="center"/>
          </w:tcPr>
          <w:p>
            <w:pPr>
              <w:pStyle w:val="TableContents"/>
              <w:bidi w:val="0"/>
              <w:spacing w:before="0" w:after="0"/>
              <w:jc w:val="left"/>
              <w:rPr>
                <w:color w:val="000000"/>
              </w:rPr>
            </w:pPr>
            <w:r>
              <w:rPr>
                <w:color w:val="000000"/>
              </w:rPr>
              <w:t>•</w:t>
            </w:r>
          </w:p>
        </w:tc>
        <w:tc>
          <w:tcPr>
            <w:tcW w:w="626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traders in securities that elect to use a mark-to-market method of accounting; </w:t>
            </w:r>
          </w:p>
        </w:tc>
      </w:tr>
    </w:tbl>
    <w:tbl>
      <w:tblPr>
        <w:tblW w:w="4105" w:type="dxa"/>
        <w:jc w:val="left"/>
        <w:tblInd w:w="0" w:type="dxa"/>
        <w:tblLayout w:type="fixed"/>
        <w:tblCellMar>
          <w:top w:w="0" w:type="dxa"/>
          <w:left w:w="0" w:type="dxa"/>
          <w:bottom w:w="0" w:type="dxa"/>
          <w:right w:w="0" w:type="dxa"/>
        </w:tblCellMar>
      </w:tblPr>
      <w:tblGrid>
        <w:gridCol w:w="110"/>
        <w:gridCol w:w="3995"/>
      </w:tblGrid>
      <w:tr>
        <w:trPr/>
        <w:tc>
          <w:tcPr>
            <w:tcW w:w="110" w:type="dxa"/>
            <w:tcBorders/>
            <w:vAlign w:val="center"/>
          </w:tcPr>
          <w:p>
            <w:pPr>
              <w:pStyle w:val="TableContents"/>
              <w:bidi w:val="0"/>
              <w:spacing w:before="0" w:after="0"/>
              <w:jc w:val="left"/>
              <w:rPr>
                <w:color w:val="000000"/>
              </w:rPr>
            </w:pPr>
            <w:r>
              <w:rPr>
                <w:color w:val="000000"/>
              </w:rPr>
              <w:t>•</w:t>
            </w:r>
          </w:p>
        </w:tc>
        <w:tc>
          <w:tcPr>
            <w:tcW w:w="399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individual retirement or other deferred accounts;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that hold shares of Synaptics common stock as part of a straddle, hedge, appreciated financial position, constructive sale, conversion, integrated or other risk reduction transaction; </w:t>
            </w:r>
          </w:p>
        </w:tc>
      </w:tr>
    </w:tbl>
    <w:tbl>
      <w:tblPr>
        <w:tblW w:w="5350" w:type="dxa"/>
        <w:jc w:val="left"/>
        <w:tblInd w:w="0" w:type="dxa"/>
        <w:tblLayout w:type="fixed"/>
        <w:tblCellMar>
          <w:top w:w="0" w:type="dxa"/>
          <w:left w:w="0" w:type="dxa"/>
          <w:bottom w:w="0" w:type="dxa"/>
          <w:right w:w="0" w:type="dxa"/>
        </w:tblCellMar>
      </w:tblPr>
      <w:tblGrid>
        <w:gridCol w:w="110"/>
        <w:gridCol w:w="5240"/>
      </w:tblGrid>
      <w:tr>
        <w:trPr/>
        <w:tc>
          <w:tcPr>
            <w:tcW w:w="110" w:type="dxa"/>
            <w:tcBorders/>
            <w:vAlign w:val="center"/>
          </w:tcPr>
          <w:p>
            <w:pPr>
              <w:pStyle w:val="TableContents"/>
              <w:bidi w:val="0"/>
              <w:spacing w:before="0" w:after="0"/>
              <w:jc w:val="left"/>
              <w:rPr>
                <w:color w:val="000000"/>
              </w:rPr>
            </w:pPr>
            <w:r>
              <w:rPr>
                <w:color w:val="000000"/>
              </w:rPr>
              <w:t>•</w:t>
            </w:r>
          </w:p>
        </w:tc>
        <w:tc>
          <w:tcPr>
            <w:tcW w:w="5240"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regulated investment companies or real estate investment trusts; </w:t>
            </w:r>
          </w:p>
        </w:tc>
      </w:tr>
    </w:tbl>
    <w:tbl>
      <w:tblPr>
        <w:tblW w:w="5275" w:type="dxa"/>
        <w:jc w:val="left"/>
        <w:tblInd w:w="0" w:type="dxa"/>
        <w:tblLayout w:type="fixed"/>
        <w:tblCellMar>
          <w:top w:w="0" w:type="dxa"/>
          <w:left w:w="0" w:type="dxa"/>
          <w:bottom w:w="0" w:type="dxa"/>
          <w:right w:w="0" w:type="dxa"/>
        </w:tblCellMar>
      </w:tblPr>
      <w:tblGrid>
        <w:gridCol w:w="110"/>
        <w:gridCol w:w="5165"/>
      </w:tblGrid>
      <w:tr>
        <w:trPr/>
        <w:tc>
          <w:tcPr>
            <w:tcW w:w="110" w:type="dxa"/>
            <w:tcBorders/>
            <w:vAlign w:val="center"/>
          </w:tcPr>
          <w:p>
            <w:pPr>
              <w:pStyle w:val="TableContents"/>
              <w:bidi w:val="0"/>
              <w:spacing w:before="0" w:after="0"/>
              <w:jc w:val="left"/>
              <w:rPr>
                <w:color w:val="000000"/>
              </w:rPr>
            </w:pPr>
            <w:r>
              <w:rPr>
                <w:color w:val="000000"/>
              </w:rPr>
              <w:t>•</w:t>
            </w:r>
          </w:p>
        </w:tc>
        <w:tc>
          <w:tcPr>
            <w:tcW w:w="516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holders whose “functional currency” is not the U.S. dollar; </w:t>
            </w:r>
          </w:p>
        </w:tc>
      </w:tr>
    </w:tbl>
    <w:tbl>
      <w:tblPr>
        <w:tblW w:w="1495" w:type="dxa"/>
        <w:jc w:val="left"/>
        <w:tblInd w:w="0" w:type="dxa"/>
        <w:tblLayout w:type="fixed"/>
        <w:tblCellMar>
          <w:top w:w="0" w:type="dxa"/>
          <w:left w:w="0" w:type="dxa"/>
          <w:bottom w:w="0" w:type="dxa"/>
          <w:right w:w="0" w:type="dxa"/>
        </w:tblCellMar>
      </w:tblPr>
      <w:tblGrid>
        <w:gridCol w:w="110"/>
        <w:gridCol w:w="1385"/>
      </w:tblGrid>
      <w:tr>
        <w:trPr/>
        <w:tc>
          <w:tcPr>
            <w:tcW w:w="110" w:type="dxa"/>
            <w:tcBorders/>
            <w:vAlign w:val="center"/>
          </w:tcPr>
          <w:p>
            <w:pPr>
              <w:pStyle w:val="TableContents"/>
              <w:bidi w:val="0"/>
              <w:spacing w:before="0" w:after="0"/>
              <w:jc w:val="left"/>
              <w:rPr>
                <w:color w:val="000000"/>
              </w:rPr>
            </w:pPr>
            <w:r>
              <w:rPr>
                <w:color w:val="000000"/>
              </w:rPr>
              <w:t>•</w:t>
            </w:r>
          </w:p>
        </w:tc>
        <w:tc>
          <w:tcPr>
            <w:tcW w:w="1385" w:type="dxa"/>
            <w:tcBorders/>
            <w:vAlign w:val="center"/>
          </w:tcPr>
          <w:p>
            <w:pPr>
              <w:pStyle w:val="TableContents"/>
              <w:bidi w:val="0"/>
              <w:spacing w:before="0" w:after="0"/>
              <w:jc w:val="left"/>
              <w:rPr>
                <w:rFonts w:ascii="Times New Roman;Times;serif" w:hAnsi="Times New Roman;Times;serif"/>
                <w:color w:val="000000"/>
                <w:sz w:val="20"/>
              </w:rPr>
            </w:pPr>
            <w:r>
              <w:rPr>
                <w:rFonts w:ascii="Times New Roman;Times;serif" w:hAnsi="Times New Roman;Times;serif"/>
                <w:color w:val="000000"/>
                <w:sz w:val="20"/>
              </w:rPr>
              <w:t xml:space="preserve">U.S. expatriates;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persons required to accelerate the recognition of any item of gross income as a result of such income being recognized on an “applicable financial statement”;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holders who, directly, indirectly or constructively own (or at any time during the five-year period ending on the date of the Merger owned) 5% or more of Synaptics common stock; and</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stockholders who acquired their shares of Synaptics common stock through the exercise of employee stock options, as a restricted stock award or otherwise as compensation or through a tax-qualified retirement plan.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79" w:name="ny20081083x2_defm14a_115-tax_pg2"/>
        <w:bookmarkEnd w:id="17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 partnership or other entity or arrangement treated as a partnership for U.S. federal income tax purposes holds shares of Synaptics common stock, the tax treatment of a partner in the partnership will generally depend on the status of the partner and the activities of the partner and partnership. Partnerships holding shares of Synaptics common stock and partners in such partnerships are urged to consult their tax advisors about the tax consequences of the Merger to them.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This discussion is not tax advice and does not purport to be a complete analysis or discussion of all U.S. federal income tax considerations relating to the Merger. The actual tax consequences of the Merger to you may be complex and may depend on your specific situation and on factors not within onsemi’s or Synaptics’s control. You are urged to consult with your own tax advisor as to the tax consequences of the Merger in your particular circumstances, including any federal, state, local or foreign and other tax laws and of changes in those laws.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Tax Consequences of the Merger for U.S. Holders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receipt of cash by a U.S. holder in exchange for shares of Synaptics common stock pursuant to the Merger will be a taxable transaction for U.S. federal income tax purposes. In general, a U.S. holder will recognize gain or loss in an amount equal to the difference, if any, between the amount of cash received and the U.S. holder’s adjusted tax basis in the shares of Synaptics common stock surrendered pursuant to the Merger. A U.S. holder’s adjusted tax basis generally will equal the amount that such U.S. holder paid for the shares of Synaptics common stock. A U.S. holder’s gain or loss on the disposition of shares of Synaptics common stock generally will be characterized as capital gain or loss. Any such gain or loss will be long-term capital gain or loss if such U.S. holder’s holding period in such shares is more than one (1) year at the time of the completion of the Merger. A preferential tax rate on capital gain generally will apply to long-term capital gain of a non-corporate U.S. holder (including individuals). The deductibility of capital losses is subject to limitations. U.S. holders who hold different blocks of Synaptics common stock (shares of Synaptics common stock purchased or acquired on different dates or at different prices) should consult their tax advisor to determine how the above rules apply to them.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Information Reporting and Backup Withholding</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payment of cash to U.S. holders in exchange for shares of Synaptics common stock in connection with the Merger generally will be subject to information reporting and may be subject to U.S. federal backup withholding (currently, at a rate of 24%). To prevent backup withholding, U.S. holders of Synaptics common stock should (1) furnish the exchange agent for the Merger (or other payor) with a properly completed IRS Form W-9 (or an applicable substitute or successor form) certifying such U.S. holder’s correct taxpayer identification number and that such U.S. holder is not subject to backup withholding and otherwise comply with all the applicable backup withholding rules or (2) otherwise establish an applicable exemption from backup withholding. Backup withholding is not an additional tax. Any amounts withheld from payments to a U.S. holder of shares of Synaptics common stock under the backup withholding rules may be refunded or credited against such U.S. holder’s U.S. federal income tax liability provided that such U.S. holder timely furnishes the required information to the IRS.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The preceding discussion is intended only as an overview of the U.S. federal income tax consequences of the Merger and is not tax advice. It is not a complete analysis or discussion of all potential tax considerations that may be important to you. Thus, you are strongly encouraged to consult your tax advisor as to the specific tax consequences resulting from the Merger, including tax return reporting requirements, the applicability and effect of federal, state, local and other tax laws and the effect of any changes in the tax laws.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0" w:name="ny20081083x2_defm14a_116-executive_pg1"/>
        <w:bookmarkEnd w:id="18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81" w:name="tIOS"/>
      <w:bookmarkEnd w:id="181"/>
      <w:r>
        <w:rPr>
          <w:rFonts w:ascii="Times New Roman;Times;serif" w:hAnsi="Times New Roman;Times;serif"/>
          <w:b/>
          <w:color w:val="000000"/>
          <w:sz w:val="20"/>
        </w:rPr>
        <w:t xml:space="preserve">INTERESTS OF SYNAPTICS’ DIRECTORS AND </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EXECUTIVE OFFICERS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considering the recommendation of the Synaptics board that Synaptics stockholders vote “FOR” the Merger Proposal, the Advisory Compensation Proposal and the Adjournment Proposal, Synaptics stockholders should be aware that the directors and executive officers of Synaptics have interests in the Merger that are different from, or in addition to, those of Synaptics stockholders generally.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These interests are described below. The Synaptics board was aware of and considered these interests, among other matters, in evaluating and negotiating the Merger Agreement and the Merger, in approving the Merger Agreement, and in recommending the approval of the Merger Proposal, the Advisory Compensation Proposal and the Adjournment Proposal. The Merger will be a “change of control” for purposes of the Synaptics executive compensation plans and agreements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the named executive officers of Synaptics are Rahul Patel, President and Chief Executive Officer, Ken Rizvi, former Senior Vice President and Chief Financial Officer, Lisa Bodensteiner, Senior Vice President, Chief Legal Officer and Secretary, Satish Ganesan, Senior Vice President and General Manager, Intelligent Sensing Division, and Chief Strategy Officer, and Vikram Gupta, Senior Vice President and General Manager, IoT Processors, and Chief Product Officer. Also, for purposes of this disclosure, there are no executive officers of Synaptics other than the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purposes of this disclosure, Synaptics’s nonemployee directors are Nelson C. Chan, Jeffrey D. Buchanan, Keith B. Geeslin, Susan Hardman, Patricia Kummrow, Vivie Lee, Venkatesh Nathamuni and James L. Whims.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Certain Assumptions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Except as otherwise specifically noted, for purposes of quantifying the potential payments and benefits described in this section, the following assumptions were used: </w:t>
      </w:r>
    </w:p>
    <w:tbl>
      <w:tblPr>
        <w:tblW w:w="10165" w:type="dxa"/>
        <w:jc w:val="left"/>
        <w:tblInd w:w="0" w:type="dxa"/>
        <w:tblLayout w:type="fixed"/>
        <w:tblCellMar>
          <w:top w:w="0" w:type="dxa"/>
          <w:left w:w="0" w:type="dxa"/>
          <w:bottom w:w="0" w:type="dxa"/>
          <w:right w:w="0" w:type="dxa"/>
        </w:tblCellMar>
      </w:tblPr>
      <w:tblGrid>
        <w:gridCol w:w="110"/>
        <w:gridCol w:w="10055"/>
      </w:tblGrid>
      <w:tr>
        <w:trPr/>
        <w:tc>
          <w:tcPr>
            <w:tcW w:w="110" w:type="dxa"/>
            <w:tcBorders/>
            <w:vAlign w:val="center"/>
          </w:tcPr>
          <w:p>
            <w:pPr>
              <w:pStyle w:val="TableContents"/>
              <w:bidi w:val="0"/>
              <w:spacing w:before="0" w:after="0"/>
              <w:jc w:val="left"/>
              <w:rPr>
                <w:color w:val="000000"/>
              </w:rPr>
            </w:pPr>
            <w:r>
              <w:rPr>
                <w:color w:val="000000"/>
              </w:rPr>
              <w:t>•</w:t>
            </w:r>
          </w:p>
        </w:tc>
        <w:tc>
          <w:tcPr>
            <w:tcW w:w="1005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relevant price per share of Synaptics common stock is $123.00, which is the fixed per share cash Merger Consideration.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effective time as referenced in this section occurs on October 13, 2026, which is the assumed date of the effective time solely for purposes of the disclosure in this section.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rFonts w:ascii="Times New Roman;Times;serif" w:hAnsi="Times New Roman;Times;serif"/>
                <w:color w:val="000000"/>
                <w:sz w:val="20"/>
              </w:rPr>
            </w:pPr>
            <w:r>
              <w:rPr>
                <w:rFonts w:ascii="Times New Roman;Times;serif" w:hAnsi="Times New Roman;Times;serif"/>
                <w:color w:val="000000"/>
                <w:sz w:val="20"/>
              </w:rPr>
              <w:t xml:space="preserve">The employment of each of Synaptics’s named executive officers was terminated without “cause” or due to the executive’s resignation for “good reason” (as such terms are defined in the relevant plans and agreements), in either case immediately following the effective time.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may differ materially from the estimates set forth below. </w:t>
      </w:r>
    </w:p>
    <w:p>
      <w:pPr>
        <w:pStyle w:val="TextBody"/>
        <w:bidi w:val="0"/>
        <w:spacing w:before="24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Treatment of Equity Awards in the Merger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Both executives and non-employee directors of Synaptics hold Synaptics RSUs, and executives also hold Synaptics PSUs and Synaptics MSUs. The treatment of such awards in the Merger is as described below. </w:t>
      </w:r>
    </w:p>
    <w:p>
      <w:pPr>
        <w:pStyle w:val="TextBody"/>
        <w:bidi w:val="0"/>
        <w:spacing w:before="2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RSU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Pursuant to the Merger Agreement, at the effective time, each Synaptics RSU that is outstanding and unvested immediately prior to the effective time and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determined as the product, rounded to the nearest whole number, of the number of shares of Synaptics common stock underlying such Synaptics RSU and the Conversion Ratio, subject to the same terms and conditions as applied immediately prior to the effective time. Each Synaptics RSU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per share Merger Consideration multiplied by the underlying shares of Synaptics common stock subject to such Synaptics RSU, after giving effect to any accumulated dividend equivalent rights (subject to applicable tax withholding).</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109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2" w:name="ny20081083x2_defm14a_116-executive_pg2"/>
        <w:bookmarkEnd w:id="18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PSU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PSU that is outstanding and unvested immediately prior to the effective time and held by an individual who, immediately after the effective time, is an employee of onsemi within the meaning of Form S-8, will be assumed by onsemi and converted into a performance-based stock unit award denominated in shares of onsemi common stock, covering a number of shares of onsemi common stock determined as the product, rounded to the nearest whole number, of the number of shares of Synaptics common stock underlying such Synaptics PSU and the Conversion Ratio, subject to the same terms and conditions as applied immediately prior to the effective time, except that for purposes of determining the number of shares of Synaptics common stock subject to each such converted Synaptics PSU, the applicable performance conditions for Synaptics PSUs for which the performance period has not yet closed will be deemed satisfied at target level, with the resulting onsemi performance-based stock unit awards subject only to time-based vesting conditions. Each Synaptics PSU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will have the right to receive an amount of Merger Consideration equal to the product of the per share Merger Consideration multiplied by the underlying shares of Synaptics common stock subject to such Synaptics PSU, determined as if the performance conditions were satisfied at target level for Synaptics PSUs for which the performance period has not yet closed and after giving effect to any accumulated dividend equivalent rights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MSU Awards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Each Synaptics MSU that is outstanding and unvested immediately prior to the effective time, and is held by an individual who, immediately after the effective time, is an employee of onsemi within the meaning of Form S-8, will be assumed by onsemi and converted into a restricted stock unit award denominated in shares of onsemi common stock, covering a number of shares of onsemi common stock determined as the product, rounded to the nearest whole number, of the number of shares of Synaptics common stock underlying such Synaptics MSU (with such number determined based on actual performance of the performance conditions applicable to such Synaptics MSU as of immediately before the closing) and the Conversion Ratio, with the resulting onsemi restricted stock unit awards subject only to time-based vesting conditions and otherwise subject to the same terms and conditions as applied immediately prior to the effective time. Each Synaptics MSU that is (A) vested but not yet settled as of immediately prior to the effective time, (B) by its terms becomes vested in connection with the closing, or (C) is held by a non-employee member of the Synaptics board as of immediately prior to the effective time will be cancelled, and the former holder thereof will have the right to receive an amount of Merger Consideration equal to the product of the per share Merger Consideration multiplied by the underlying shares of Synaptics common stock subject to such Synaptics MSU, determined based on actual performance of the applicable performance conditions and after giving effect to any accumulated dividend equivalent rights (subject to applicable tax withholding).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Certain Non-U.S. Grantees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treatment specified in the Merger Agreement for a non-U.S. grantee would be otherwise prohibited, subject to onerous regulatory requirements, or subject to adverse tax treatment under applicable law, onsemi may provide compensation equivalent in value to the non-U.S. grantee in the form of a cash payment, reduced by applicable taxes, or a new equity award, as reasonably determined by onsemi in consultation with Synaptics.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NEOs (as defined below) in respect of their unvested Synaptics equity awards at the effective time,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340" w:after="283"/>
        <w:ind w:left="400" w:right="0" w:hanging="0"/>
        <w:jc w:val="left"/>
        <w:rPr>
          <w:rFonts w:ascii="Times New Roman;Times;serif" w:hAnsi="Times New Roman;Times;serif"/>
          <w:i/>
          <w:color w:val="000000"/>
          <w:sz w:val="20"/>
        </w:rPr>
      </w:pPr>
      <w:r>
        <w:rPr>
          <w:rFonts w:ascii="Times New Roman;Times;serif" w:hAnsi="Times New Roman;Times;serif"/>
          <w:i/>
          <w:color w:val="000000"/>
          <w:sz w:val="20"/>
        </w:rPr>
        <w:t xml:space="preserve">Synaptics Employee Stock Purchase Plan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Merger Agreement, as soon as practicable following the date of the Merger Agreement, Synaptics will take all actions with respect to the ESPP that are necessary to: (i) cause the current ESPP offering period to be the final offering period, such that no new offering period will start under the ESPP after the date of the Merger Agreement, and cause the current ESPP offering period to be terminated no later than the business day immediately preceding the closing (the “Final Exercise Date”), (ii) make any pro-rata adjustments that may be necessary to reflect the shortened offering period but otherwise treat such shortened offering period as a fully effective and completed offering period for all purposes under the ESPP, (iii) cause each participant’s outstanding purchase right under the ESPP (the “ESPP Rights”) to be exercised as of the Final Exercise Date, (iv) provide that no new participants enroll in the ESPP after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3" w:name="ny20081083x2_defm14a_116-executive_pg3"/>
        <w:bookmarkEnd w:id="18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date of the Merger Agreement and that no current participant in the ESPP can increase his or her payroll deductions from those in effect on the date of the Merger Agreement, and (v) terminate the ESPP as of the effective time. No further ESPP Rights shall be granted or exercised under the ESPP after the Final Exercise Date.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On the Final Exercise Date, the funds credited as of such date under the ESPP within the associated accumulated payroll withholding account for each participant under the ESPP shall be used to purchase shares of Synaptics common stock in accordance with the terms of the ESPP, and each share purchased immediately prior to the effective time shall be cancelled at the effective time and converted into the right to receive Merger Consideration. Unused payroll contributions will be refunded to the applicable participants.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Executive Severance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entered into individual change in control and severance agreements (each a “Severance Agreement” and, collectively, the “Severance Agreements”) with each of Synaptics’s named executive officers (“NEOs,” and each an “NEO”), providing for severance payments in the event the NEO were to experience a termination without “Cause” or resignation for “Good Reason” (each as defined in the Severance Agreement, and both forms of termination referred to as a “Covered Termination”) within the time period commencing three (3) months prior to and ending eighteen (18) months after a change in control (the “CIC Period”).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The Severance Agreements provide for the following payments and benefits to be made to the NEOs upon a Covered Termination occurring within the CIC Period (by Synaptics or any of its successors, including, following the closing, onsemi and its subsidiaries), subject to the NEO’s execution of a release of claims: (i) cash severance paid in a lump sum in an amount equal to 2.0x base salary plus 200% of the annual target bonus in the case of Mr. Patel and 1.5x base salary plus 150% of the annual target bonus in the case of the other NEOs; (ii) if the NEO elects to receive continued healthcare coverage under the Consolidated Omnibus Budget Reconciliation Act of 1985 (“COBRA”), payment of the full COBRA premiums for up to 18 months; and (iii) acceleration of vesting of outstanding equity awards (excluding Synaptics MSUs which vest under the change in control (“CIC”) provisions in the applicable Synaptics MSU award agreement, as described below), such that Synaptics RSUs and Synaptics PSUs would vest effective as of immediately prior to the NEO’s termination date, with Synaptics PSUs deemed to be achieved at the target level of performance if the performance period is still underway as of the termination date. If the NEO incurs a Covered Termination before a CIC closes, unvested equity awards, including Synaptics MSUs, remain outstanding for up to three months after termination and vest (as described above for Synaptics RSUs and Synaptics PSUs and below for Synaptics MSUs) only if a CIC occurs within that time period; otherwise, such unvested awards are forfeited.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any payment to a NEO would constitute a “parachute payment” under Section 280G of the Code and trigger the excise tax under Section 4999, the NEO’s payments will be reduced to the extent necessary if doing so would result in a greater after-tax benefit to the NEO than receiving the full payment and bearing the excise tax. Synaptics does not provide tax gross-up payments for any elements of compensation, including excise taxes under Section 4999 of the Code.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a condition to receiving the severance payments under the Severance Agreements, the NEOs are required to reaffirm their existing obligations under the Synaptics Proprietary Information and Invention Assignment Agreement (the “Synaptics PIIA”) that each NEO entered into with Synaptics in connection with their offer of employment. Under the Synaptics PIIA, each NEO is required to maintain the confidentiality of Synaptics’ proprietary information, including information received by Synaptics from third parties, at all times during and after employment, and may not disclose, use, or publish such information except as authorized or required for their duties. Additionally, pursuant to the Synaptics PIIA, each NEO agrees that for the duration of their employment and for 12 months thereafter, they will not solicit or attempt to solicit Synaptics employees, consultants or independent contractors to terminate their relationship with Synaptics or join another employer. If a NEO breaches the Synaptics PIIA, Synaptics is entitled to seek injunctive relief, specific performance and other equitable remedies.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Additionally, as a condition to receiving the severance payments under the Severance Agreements, each NEO must agree to not disparage, criticize or defame Synaptics, its affiliates and their respective affiliates, directors, stockholders, agents, partners, or employees, either publicly or privately unless: (i) required to do so by lawful subpoena or other valid legal process; (ii) in connection with any action to enforce the terms of the Severance Agreements or (iii) there exists reasonable cause to believe the disclosed information relates to unlawful acts in the workplace.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4" w:name="ny20081083x2_defm14a_116-executive_pg4"/>
        <w:bookmarkEnd w:id="18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Synaptics MSU Award Agreements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MSUs granted to the NEOs are subject to CIC provisions in the applicable Synaptics MSU award agreements, which generally provide that upon a CIC, a portion of the Synaptics MSUs vest immediately based on Synaptics’s relative total stockholder return performance from the start of the performance period through the CIC date (using the per share Merger Consideration as the ending price of Synaptics common stock). Accordingly, a pro-rata portion of the Synaptics MSU Awards so determined will be vested as of closing and the unvested remaining achieved Synaptics MSU Awards so determined will be assumed and converted into awards of onsemi stock based on the Conversion Ratio and will continue to vest on their regular service-based vesting schedule. If an NEO is terminated without “Cause” or resigns for “Good Reason” (each as defined under the MSU terms) within 18 months after closing, their unvested replacement awards will vest immediately. </w:t>
      </w:r>
    </w:p>
    <w:p>
      <w:pPr>
        <w:pStyle w:val="TextBody"/>
        <w:bidi w:val="0"/>
        <w:spacing w:before="120" w:after="283"/>
        <w:ind w:left="0" w:right="0" w:firstLine="400"/>
        <w:jc w:val="both"/>
        <w:rPr/>
      </w:pPr>
      <w:r>
        <w:rPr>
          <w:rFonts w:ascii="Times New Roman;Times;serif" w:hAnsi="Times New Roman;Times;serif"/>
          <w:color w:val="000000"/>
          <w:sz w:val="20"/>
        </w:rPr>
        <w:t xml:space="preserve">For an estimate of the amounts that would be payable to each of Synaptics’s named executive officers at the effective time under the Severance Agreements and Synaptics MSU award agreements and the assumptions herein,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3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Indemnification and Insurance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Agreement provides that, for a period of six years after the effective time, onsemi will cause the Surviving Corporation to indemnify and hold harmless, and provide advancement of expenses to, to the fullest extent permitted by the organizational documents of Synaptics or its subsidiaries in effect as of the date of the Merger Agreement, all indemnified parties, in respect of acts or omissions occurring or alleged to have occurred at or prior to the effective time (including in connection with the approval of the Merger Agreement and the consummation of the Merger and the related transactions), whether asserted before, at or after the effective time, in connection with such service.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parties have also agreed that, for six years after the effective time, all rights to exculpation, elimination or limitation of liability, indemnification and advancement of expenses in respect of acts or omissions occurring or alleged to have occurred at or prior to the effective time that exist as of the date of the Merger Agreement in favor of the indemnified parties under the organizational documents of Synaptics or its subsidiaries, or under any written indemnification agreement with Synaptics or its subsidiaries that is publicly filed with the SEC or set forth in the confidential disclosure schedule, will survive the Merger and continue in full force and effect. For the same six-year period, the Surviving Corporation will cause to be maintained the exculpation, indemnification and advancement provisions in Synaptics’ and its subsidiaries’ organizational documents and existing indemnification agreements, and, without the affected indemnified party’s consent, those provisions may not be amended, modified or repealed in a manner that would adversely affect the rights or protections of any indemnified party (except to the extent required by applicable law).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Pursuant to the terms of the Merger Agreement, for six years after the effective time, onsemi will cause the Surviving Corporation to maintain Synaptics’s directors’ and officers’ liability insurance policies in effect as of immediately prior to the Closing (or comparable replacement policies)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Company’s D&amp;O Policy in effect as of immediately prior to the Closing. The “maximum amount” onsemi is required to spend for such D&amp;O Policy is 300% of the aggregate annual cost of the Company’s D&amp;O Policy in effect as of the signing of the Merger Agreement. If the aggregate annual cost of the D&amp;O Policy is more than the maximum amount, onsemi will cause the Surviving Corporation to maintain directors’ and officers’ liability insurance with the most favorable coverage available for a cost not exceeding the maximum amount.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lieu of onsemi’s obligations described in the preceding paragraph, Synaptics will, at onsemi’s request and in reasonable consultation with onsemi, purchase prior to the effective time six-year prepaid “tail” insurance on the D&amp;O Policy covering claims arising out of acts, omissions or other matters that occurred at or prior to the effective time and covering each of Synaptics and its subsidiaries and their respective insured persons, in any case, on terms with respect to coverage and amounts that are no less favorable to the insureds thereunder than the terms of the Company’s D&amp;O Policy in effect as of immediately prior to the closing. The maximum amount is the maximum aggregate cost onsemi will be required to expend for such D&amp;O “tail” insurance. If the aggregate cost of the D&amp;O “tail” insurance exceeds the maximum amount, then Synaptics will, in reasonable consultation with onsemi, obtain the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5" w:name="ny20081083x2_defm14a_116-executive_pg5"/>
        <w:bookmarkEnd w:id="18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most favorable “tail” insurance available for a cost at or less than the maximum amount (unless otherwise directed by onsemi to exceed the maximum amount). If Synaptics purchases such “tail” insurance, onsemi will cause the Surviving Corporation to maintain such “tail” insurance in full force and effect and continue to honor its obligations thereunder, in lieu of all other applicable obligations of onsemi and the Surviving Corporation described in the preceding paragraph. </w:t>
      </w:r>
    </w:p>
    <w:p>
      <w:pPr>
        <w:pStyle w:val="TextBody"/>
        <w:bidi w:val="0"/>
        <w:spacing w:before="120" w:after="283"/>
        <w:ind w:left="0" w:right="0" w:firstLine="400"/>
        <w:jc w:val="both"/>
        <w:rPr/>
      </w:pPr>
      <w:r>
        <w:rPr>
          <w:rFonts w:ascii="Times New Roman;Times;serif" w:hAnsi="Times New Roman;Times;serif"/>
          <w:color w:val="000000"/>
          <w:sz w:val="20"/>
        </w:rPr>
        <w:t xml:space="preserve">If any indemnified party notifies onsemi on or prior to the sixth anniversary of the effective time of a matter in respect of which such person has sought indemnification pursuant to the Merger Agreement, the Surviving Corporation will be required to indemnify and advance expenses with respect to such matter until the final disposition of all claims, actions, investigations, suits and proceedings relating thereto. For more information, see “The Merger Agreement—Directors’ and Officers’ Indemnification and Insurance” beginning on page </w:t>
      </w:r>
      <w:hyperlink w:anchor="tDAOI">
        <w:r>
          <w:rPr>
            <w:rStyle w:val="InternetLink"/>
            <w:rFonts w:ascii="Times New Roman;Times;serif" w:hAnsi="Times New Roman;Times;serif"/>
            <w:color w:val="000080"/>
            <w:sz w:val="20"/>
          </w:rPr>
          <w:t>97</w:t>
        </w:r>
      </w:hyperlink>
      <w:r>
        <w:rPr>
          <w:rFonts w:ascii="Times New Roman;Times;serif" w:hAnsi="Times New Roman;Times;serif"/>
          <w:color w:val="000000"/>
          <w:sz w:val="20"/>
        </w:rPr>
        <w:t xml:space="preserve"> of this proxy statement.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Prorated Annual Cash Bonuses of Named Executive Officers </w:t>
      </w:r>
    </w:p>
    <w:p>
      <w:pPr>
        <w:pStyle w:val="TextBody"/>
        <w:bidi w:val="0"/>
        <w:spacing w:before="120" w:after="283"/>
        <w:ind w:left="0" w:right="0" w:firstLine="400"/>
        <w:jc w:val="both"/>
        <w:rPr/>
      </w:pPr>
      <w:r>
        <w:rPr>
          <w:rFonts w:ascii="Times New Roman;Times;serif" w:hAnsi="Times New Roman;Times;serif"/>
          <w:color w:val="000000"/>
          <w:sz w:val="20"/>
        </w:rPr>
        <w:t xml:space="preserve">onsemi will or will cause its subsidiaries to pay to each continuing employee (including NEOs), with respect to any annual bonus plan covering the Synaptics fiscal year in which the effective time occurs, a prorated annual bonus for the portion of the fiscal year through the effective time, with each such bonus calculated based on target level performance attainment and paid in a single lump sum within 15 days following the effective time. For an estimate of the amounts that would be payable to each of Synaptics’s NEOs with respect to such annual bonuses, assuming the effective time occurs in fiscal year 2027, see the section titled “Quantification of Potential Payments and Benefits to Synaptics’s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w:t>
      </w:r>
    </w:p>
    <w:p>
      <w:pPr>
        <w:pStyle w:val="TextBody"/>
        <w:bidi w:val="0"/>
        <w:spacing w:before="41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280G Mitigation Actions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connection with the Merger, Synaptics may, subject to prior consultation with onsemi, take certain actions to mitigate any adverse tax consequences under the “golden parachute” provisions of Sections 280G and 4999 of the Code that could arise in connection with the completion of the Merger. The mitigation action may include the following: (i) entering into restrictive covenant agreements; (ii) entering into written “net best” arrangements permitting the reduction of “parachute payments” (as defined in Section 280G of the Code) if such reduction would provide a greater net after-tax payment than if such payments were not so reduced (to the extent not otherwise provided under an existing employment or severance agreement); and (iii) acceleration of the vesting and settlement in December 2026 of outstanding Synaptics RSU Awards, Synaptics PSU Awards and/or Synaptics MSU Awards (with any acceleration applied first to time-based RSU Awards, then to Synaptics PSU Awards and then to Synaptics MSU Awards, and the vesting of Synaptics PSU Awards and Synaptics MSU Awards to accelerate only as to the portion that reflects the achievement level at which applicable performance measures were tracking at the time of acceleration). Any accelerated awards will be subject to clawback of such accelerated amount on an after-tax basis in the event the award holder terminates employment before such awards would have normally vested by their terms, unless such termination of employment is the result of termination without “Cause” or for “Good Reason” (each as defined under the Severance Agreement), or with respect to accelerated performance-based awards, in the event the award would have settled based on actual performance at less than the number of accelerated shares. As of the date of this proxy statement, the Synaptics board, or a committee thereof, has not approved specific actions that it will take to mitigate the potential impact of the excise tax imposed on amounts that constitute “excess parachute payments” under Section 280G of the Code on any affected individuals (including Synaptics’s NEOs, other than as set forth in the Severance Agreements). </w:t>
      </w:r>
    </w:p>
    <w:p>
      <w:pPr>
        <w:pStyle w:val="TextBody"/>
        <w:bidi w:val="0"/>
        <w:spacing w:before="400" w:after="283"/>
        <w:ind w:left="0" w:right="0" w:hanging="0"/>
        <w:jc w:val="left"/>
        <w:rPr>
          <w:rFonts w:ascii="Times New Roman;Times;serif" w:hAnsi="Times New Roman;Times;serif"/>
          <w:b/>
          <w:i/>
          <w:color w:val="000000"/>
          <w:sz w:val="20"/>
        </w:rPr>
      </w:pPr>
      <w:r>
        <w:rPr>
          <w:rFonts w:ascii="Times New Roman;Times;serif" w:hAnsi="Times New Roman;Times;serif"/>
          <w:b/>
          <w:i/>
          <w:color w:val="000000"/>
          <w:sz w:val="20"/>
        </w:rPr>
        <w:t xml:space="preserve">Potential Compensation Arrangements with onsemi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As of October 19, 2026, the date of this proxy statement, no Synaptics executive officer has entered into any compensatory arrangement with onsemi that is based on, or otherwise relates to, the Merger. Prior to, on or following the effective time, certain Synaptics executive officers may have discussions or enter into individualized compensatory agreements with onsemi regarding employment following the Merger. </w:t>
      </w:r>
    </w:p>
    <w:p>
      <w:pPr>
        <w:pStyle w:val="TextBody"/>
        <w:bidi w:val="0"/>
        <w:spacing w:before="400" w:after="283"/>
        <w:ind w:left="0" w:right="0" w:hanging="0"/>
        <w:jc w:val="left"/>
        <w:rPr>
          <w:rFonts w:ascii="Times New Roman;Times;serif" w:hAnsi="Times New Roman;Times;serif"/>
          <w:b/>
          <w:i/>
          <w:color w:val="000000"/>
          <w:sz w:val="20"/>
        </w:rPr>
      </w:pPr>
      <w:bookmarkStart w:id="186" w:name="tQPPB"/>
      <w:bookmarkEnd w:id="186"/>
      <w:r>
        <w:rPr>
          <w:rFonts w:ascii="Times New Roman;Times;serif" w:hAnsi="Times New Roman;Times;serif"/>
          <w:b/>
          <w:i/>
          <w:color w:val="000000"/>
          <w:sz w:val="20"/>
        </w:rPr>
        <w:t xml:space="preserve">Quantification of Potential Payments and Benefits to Synaptics’s Named Executive Officers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information set forth below is required by and intended to comply with Item 402(t) of Regulation S-K regarding compensation that is based on or otherwise related to the Merger that the Synaptics NEOs could receive in connection with the Merger. Except as otherwise specifically noted, the disclosure below uses the relevant assumptions described above under “Certain Assumptions.” 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7" w:name="ny20081083x2_defm14a_116-executive_pg6"/>
        <w:bookmarkEnd w:id="18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amounts indicated in the table below are estimates based on multiple assumptions (including the assumptions described above, below and in the footnotes to the table) that may or may not actually occur or be accurate on the relevant date and do not reflect certain compensation actions that may occur before completion of the Merger. Accordingly, the actual amounts received by our NEOs may differ materially from the estimates set forth below. </w:t>
      </w:r>
    </w:p>
    <w:tbl>
      <w:tblPr>
        <w:tblW w:w="6275" w:type="dxa"/>
        <w:jc w:val="left"/>
        <w:tblInd w:w="0" w:type="dxa"/>
        <w:tblLayout w:type="fixed"/>
        <w:tblCellMar>
          <w:top w:w="0" w:type="dxa"/>
          <w:left w:w="0" w:type="dxa"/>
          <w:bottom w:w="0" w:type="dxa"/>
          <w:right w:w="0" w:type="dxa"/>
        </w:tblCellMar>
      </w:tblPr>
      <w:tblGrid>
        <w:gridCol w:w="1505"/>
        <w:gridCol w:w="140"/>
        <w:gridCol w:w="140"/>
        <w:gridCol w:w="845"/>
        <w:gridCol w:w="140"/>
        <w:gridCol w:w="140"/>
        <w:gridCol w:w="995"/>
        <w:gridCol w:w="140"/>
        <w:gridCol w:w="140"/>
        <w:gridCol w:w="845"/>
        <w:gridCol w:w="140"/>
        <w:gridCol w:w="140"/>
        <w:gridCol w:w="965"/>
      </w:tblGrid>
      <w:tr>
        <w:trPr/>
        <w:tc>
          <w:tcPr>
            <w:tcW w:w="6275" w:type="dxa"/>
            <w:gridSpan w:val="13"/>
            <w:tcBorders/>
            <w:vAlign w:val="center"/>
          </w:tcPr>
          <w:p>
            <w:pPr>
              <w:pStyle w:val="TableContents"/>
              <w:bidi w:val="0"/>
              <w:spacing w:before="0" w:after="0"/>
              <w:jc w:val="left"/>
              <w:rPr/>
            </w:pPr>
            <w:r>
              <w:rPr/>
              <w:t> </w:t>
            </w:r>
          </w:p>
        </w:tc>
      </w:tr>
      <w:tr>
        <w:trPr/>
        <w:tc>
          <w:tcPr>
            <w:tcW w:w="6275" w:type="dxa"/>
            <w:gridSpan w:val="13"/>
            <w:tcBorders/>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Golden Parachute Compensation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Cash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($)(1)</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Equity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Awards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Perquisites/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Benefits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($)(4)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4,013,604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43,317,078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47,390,991</w:t>
            </w:r>
          </w:p>
        </w:tc>
      </w:tr>
      <w:tr>
        <w:trPr/>
        <w:tc>
          <w:tcPr>
            <w:tcW w:w="1505" w:type="dxa"/>
            <w:tcBorders/>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Ken Rizvi(5)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color w:val="000000"/>
              </w:rPr>
            </w:pPr>
            <w:r>
              <w:rPr>
                <w:color w:val="000000"/>
              </w:rPr>
              <w:t>—</w:t>
            </w:r>
            <w:r>
              <w:rPr>
                <w:color w:val="00000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color w:val="000000"/>
              </w:rPr>
            </w:pPr>
            <w:r>
              <w:rPr>
                <w:color w:val="000000"/>
              </w:rPr>
              <w:t>—</w:t>
            </w:r>
            <w:r>
              <w:rPr>
                <w:color w:val="000000"/>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1,331,220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13,041,617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14,442,611</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1,345,457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14,484,588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6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15,830,063</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1,378,203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14,923,206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12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16,361,718</w:t>
            </w:r>
          </w:p>
        </w:tc>
      </w:tr>
      <w:tr>
        <w:trPr/>
        <w:tc>
          <w:tcPr>
            <w:tcW w:w="15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65" w:type="dxa"/>
            <w:tcBorders/>
            <w:shd w:fill="CCEEFF" w:val="clear"/>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8"/>
        <w:gridCol w:w="10027"/>
      </w:tblGrid>
      <w:tr>
        <w:trPr/>
        <w:tc>
          <w:tcPr>
            <w:tcW w:w="178"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27"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Cash</w:t>
            </w:r>
            <w:r>
              <w:rPr>
                <w:rFonts w:ascii="Times New Roman;Times;serif" w:hAnsi="Times New Roman;Times;serif"/>
                <w:color w:val="000000"/>
                <w:sz w:val="16"/>
              </w:rPr>
              <w:t xml:space="preserve">. These amounts include the salary- and bonus-related cash severance payable to each NEO in connection with a Covered Termination of employment within the CIC Period as provided for under the Severance Agreements. These severance payments are equal to two times base salary plus 200% of the annual target bonus for Mr. Patel and one-and-a-half times base salary plus 150% of the annual target bonus for each other NEO. These severance payments are “double trigger” and are only payable upon the occurrence of a Covered Termination and a CIC as provided for under the Severance Agreements. The amounts in this column also include the fiscal year 2027 annual bonus payments described above under the section titled “Prorated Annual Cash Bonuses of Named Executive Officers.” These bonus payments are “single trigger” and are payable upon the occurrence of the effective time. The estimated amount of each such payment is set forth in the table below: </w:t>
            </w:r>
          </w:p>
        </w:tc>
      </w:tr>
    </w:tbl>
    <w:tbl>
      <w:tblPr>
        <w:tblW w:w="6110" w:type="dxa"/>
        <w:jc w:val="left"/>
        <w:tblInd w:w="0" w:type="dxa"/>
        <w:tblLayout w:type="fixed"/>
        <w:tblCellMar>
          <w:top w:w="0" w:type="dxa"/>
          <w:left w:w="0" w:type="dxa"/>
          <w:bottom w:w="0" w:type="dxa"/>
          <w:right w:w="0" w:type="dxa"/>
        </w:tblCellMar>
      </w:tblPr>
      <w:tblGrid>
        <w:gridCol w:w="1505"/>
        <w:gridCol w:w="140"/>
        <w:gridCol w:w="140"/>
        <w:gridCol w:w="920"/>
        <w:gridCol w:w="140"/>
        <w:gridCol w:w="140"/>
        <w:gridCol w:w="1010"/>
        <w:gridCol w:w="140"/>
        <w:gridCol w:w="140"/>
        <w:gridCol w:w="695"/>
        <w:gridCol w:w="140"/>
        <w:gridCol w:w="140"/>
        <w:gridCol w:w="86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1.5x Base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Salary for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other 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200%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CEO and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150% Bonus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for other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NEOs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FY2027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Bonus</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1,648,000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2,060,000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305,604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4,013,604</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701,250</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525,938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104,032</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1,331,220</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20" w:type="dxa"/>
            <w:tcBorders/>
            <w:shd w:fill="CCEEFF" w:val="clear"/>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708,750</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531,563</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105,144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6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1,345,457</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283"/>
              <w:ind w:left="5" w:right="0" w:hanging="0"/>
              <w:jc w:val="left"/>
              <w:rPr>
                <w:rFonts w:ascii="Times New Roman;Times;serif" w:hAnsi="Times New Roman;Times;serif"/>
                <w:color w:val="000000"/>
                <w:sz w:val="20"/>
              </w:rPr>
            </w:pPr>
            <w:r>
              <w:rPr>
                <w:rFonts w:ascii="Times New Roman;Times;serif" w:hAnsi="Times New Roman;Times;serif"/>
                <w:color w:val="000000"/>
                <w:sz w:val="20"/>
              </w:rPr>
              <w:t>726,000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43" w:right="0" w:hanging="0"/>
              <w:jc w:val="left"/>
              <w:rPr>
                <w:rFonts w:ascii="Times New Roman;Times;serif" w:hAnsi="Times New Roman;Times;serif"/>
                <w:color w:val="000000"/>
                <w:sz w:val="20"/>
              </w:rPr>
            </w:pPr>
            <w:r>
              <w:rPr>
                <w:rFonts w:ascii="Times New Roman;Times;serif" w:hAnsi="Times New Roman;Times;serif"/>
                <w:color w:val="000000"/>
                <w:sz w:val="20"/>
              </w:rPr>
              <w:t>544,500</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107,703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1,378,203</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2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6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73"/>
        <w:gridCol w:w="10032"/>
      </w:tblGrid>
      <w:tr>
        <w:trPr/>
        <w:tc>
          <w:tcPr>
            <w:tcW w:w="173"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32"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These amounts reflect the potential value that each NEO could receive in connection with the vesting and accelerated vesting of unvested and outstanding Synaptics RSUs, Synaptics PSUs and Synaptics MSUs. A prorated portion of the Synaptics MSU Awards will vest as of the closing based on relative total stockholder return performance through closing (using the per share Merger Consideration as the ending price of Synaptics common stock) with the remaining Synaptics MSUs so determined being replaced with replacement awards based on onsemi stock and the Conversion Ratio. Synaptics RSUs and Synaptics PSUs will be replaced with replacement awards based on onsemi stock and the Conversion Ratio with the number of Synaptics PSUs to be replaced being determined at target level attainment for any Synaptics PSUs with a then open performance period, and based on actual performance for any PSUs for which the performance period has closed by the effective time. If the NEO incurs a Covered Termination within 18 months after the effective time, all remaining unvested replacement awards vest in full immediately on the NEO’s termination date. If a NEO incurs a Covered Termination before the effective time, unvested equity awards, including Synaptics MSUs, remain outstanding for up to three months after termination and vest (as described above) only if the effective time occurs within that time period; otherwise, such unvested awards are forfeited. With the exception of the portion of the Synaptics MSUs that vest immediately based on performance on a “single-trigger” basis as of closing, the acceleration of equity awards held by NEOs is “double trigger” and applies only upon the occurrence of a Covered Termination as provided for under the Severance Agreements and the Synaptics MSU award agreements. For further details regarding the treatment of NEO’s equity awards, see “Synaptics Executive Severance Agreements,” “Treatment of Synaptics Equity Awards” and “Synaptics MSU Award Agreements.” The estimated value of the unvested Synaptics RSUs, Synaptics PSUs and Synaptics MSUs held by each NEO that vest or may vest in connection with or following the Merger as described in this paragraph is set forth in the table below: </w:t>
            </w:r>
          </w:p>
        </w:tc>
      </w:tr>
    </w:tbl>
    <w:tbl>
      <w:tblPr>
        <w:tblW w:w="7835" w:type="dxa"/>
        <w:jc w:val="left"/>
        <w:tblInd w:w="0" w:type="dxa"/>
        <w:tblLayout w:type="fixed"/>
        <w:tblCellMar>
          <w:top w:w="0" w:type="dxa"/>
          <w:left w:w="0" w:type="dxa"/>
          <w:bottom w:w="0" w:type="dxa"/>
          <w:right w:w="0" w:type="dxa"/>
        </w:tblCellMar>
      </w:tblPr>
      <w:tblGrid>
        <w:gridCol w:w="1505"/>
        <w:gridCol w:w="140"/>
        <w:gridCol w:w="140"/>
        <w:gridCol w:w="995"/>
        <w:gridCol w:w="140"/>
        <w:gridCol w:w="140"/>
        <w:gridCol w:w="995"/>
        <w:gridCol w:w="140"/>
        <w:gridCol w:w="140"/>
        <w:gridCol w:w="845"/>
        <w:gridCol w:w="140"/>
        <w:gridCol w:w="140"/>
        <w:gridCol w:w="1085"/>
        <w:gridCol w:w="140"/>
        <w:gridCol w:w="140"/>
        <w:gridCol w:w="1010"/>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RSUs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PSUs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MSUs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(single-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MSUs (double-</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trigger)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Total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13,303,311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11,190,786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5,488,655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13,334,325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43,317,078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5,076,579</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3,016,698</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2,251,285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2,697,055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13,041,617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5,716,917</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99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3,331,086</w:t>
            </w:r>
            <w:r>
              <w:rPr>
                <w:rFonts w:ascii="Times New Roman;Times;serif" w:hAnsi="Times New Roman;Times;serif"/>
                <w:color w:val="000000"/>
                <w:sz w:val="20"/>
              </w:rPr>
              <w:t xml:space="preserve">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84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2,459,405</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85" w:type="dxa"/>
            <w:tcBorders/>
            <w:shd w:fill="CCEEFF" w:val="clear"/>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2,977,180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1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14,484,588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5,943,114</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3,405,993</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2,525,626</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283"/>
              <w:ind w:left="63" w:right="0" w:hanging="0"/>
              <w:jc w:val="left"/>
              <w:rPr>
                <w:rFonts w:ascii="Times New Roman;Times;serif" w:hAnsi="Times New Roman;Times;serif"/>
                <w:color w:val="000000"/>
                <w:sz w:val="20"/>
              </w:rPr>
            </w:pPr>
            <w:r>
              <w:rPr>
                <w:rFonts w:ascii="Times New Roman;Times;serif" w:hAnsi="Times New Roman;Times;serif"/>
                <w:color w:val="000000"/>
                <w:sz w:val="20"/>
              </w:rPr>
              <w:t>3,048,473</w:t>
            </w:r>
            <w:r>
              <w:rPr>
                <w:rFonts w:ascii="Times New Roman;Times;serif" w:hAnsi="Times New Roman;Times;serif"/>
                <w:color w:val="000000"/>
                <w:sz w:val="20"/>
              </w:rPr>
              <w:t xml:space="preserv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14,923,206</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99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84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8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10"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4"/>
        <w:gridCol w:w="10021"/>
      </w:tblGrid>
      <w:tr>
        <w:trPr/>
        <w:tc>
          <w:tcPr>
            <w:tcW w:w="184"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21"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i/>
                <w:color w:val="000000"/>
                <w:sz w:val="16"/>
              </w:rPr>
              <w:t>Benefits</w:t>
            </w:r>
            <w:r>
              <w:rPr>
                <w:rFonts w:ascii="Times New Roman;Times;serif" w:hAnsi="Times New Roman;Times;serif"/>
                <w:color w:val="000000"/>
                <w:sz w:val="16"/>
              </w:rPr>
              <w:t xml:space="preserve">. These amounts reflect the cash payments for healthcare continuation coverage payable to each NEO if such NEO timely elects healthcare continuation coverage under COBRA in connection with their Covered Termination within the CIC Period as provided for under the Severance Agreements, equal to 18 times the full monthly cost of healthcare continuation coverage under Synaptics’s group health plan pursuant to COBRA. These healthcare continuation coverage payments are “double trigger” and are only payable upon the occurrence of a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8" w:name="ny20081083x2_defm14a_116-executive_pg7"/>
        <w:bookmarkEnd w:id="188"/>
        <w:r>
          <w:rPr>
            <w:rStyle w:val="InternetLink"/>
            <w:rFonts w:ascii="Times New Roman;Times;Serif" w:hAnsi="Times New Roman;Times;Serif"/>
            <w:b/>
            <w:caps w:val="false"/>
            <w:smallCaps w:val="false"/>
            <w:color w:val="000000"/>
            <w:sz w:val="16"/>
          </w:rPr>
          <w:t>TABLE OF CONTENTS</w:t>
        </w:r>
      </w:hyperlink>
    </w:p>
    <w:p>
      <w:pPr>
        <w:pStyle w:val="TextBody"/>
        <w:bidi w:val="0"/>
        <w:spacing w:before="105" w:after="283"/>
        <w:ind w:left="400" w:right="0" w:hanging="0"/>
        <w:jc w:val="both"/>
        <w:rPr>
          <w:rFonts w:ascii="Times New Roman;Times;serif" w:hAnsi="Times New Roman;Times;serif"/>
          <w:color w:val="000000"/>
          <w:sz w:val="16"/>
        </w:rPr>
      </w:pPr>
      <w:r>
        <w:rPr>
          <w:rFonts w:ascii="Times New Roman;Times;serif" w:hAnsi="Times New Roman;Times;serif"/>
          <w:color w:val="000000"/>
          <w:sz w:val="16"/>
        </w:rPr>
        <w:t xml:space="preserve">Covered Termination and a CIC. For further details regarding the healthcare continuation coverage benefits, see “Synaptics Executive Severance Agreements.” The estimated amount of the 18-month COBRA continuation coverage for each NEO is outlined in the table below: </w:t>
      </w:r>
    </w:p>
    <w:tbl>
      <w:tblPr>
        <w:tblW w:w="2930" w:type="dxa"/>
        <w:jc w:val="left"/>
        <w:tblInd w:w="0" w:type="dxa"/>
        <w:tblLayout w:type="fixed"/>
        <w:tblCellMar>
          <w:top w:w="0" w:type="dxa"/>
          <w:left w:w="0" w:type="dxa"/>
          <w:bottom w:w="0" w:type="dxa"/>
          <w:right w:w="0" w:type="dxa"/>
        </w:tblCellMar>
      </w:tblPr>
      <w:tblGrid>
        <w:gridCol w:w="1505"/>
        <w:gridCol w:w="140"/>
        <w:gridCol w:w="140"/>
        <w:gridCol w:w="1145"/>
      </w:tblGrid>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r>
        <w:trPr/>
        <w:tc>
          <w:tcPr>
            <w:tcW w:w="150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18 Months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Synaptics-paid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COBRA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Continuation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60,309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69,775 </w:t>
            </w:r>
          </w:p>
        </w:tc>
      </w:tr>
      <w:tr>
        <w:trPr/>
        <w:tc>
          <w:tcPr>
            <w:tcW w:w="1505"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145" w:type="dxa"/>
            <w:tcBorders/>
            <w:shd w:fill="CCEEFF" w:val="clear"/>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1505"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283"/>
              <w:ind w:left="232" w:right="0" w:hanging="0"/>
              <w:jc w:val="left"/>
              <w:rPr>
                <w:rFonts w:ascii="Times New Roman;Times;serif" w:hAnsi="Times New Roman;Times;serif"/>
                <w:color w:val="000000"/>
                <w:sz w:val="20"/>
              </w:rPr>
            </w:pPr>
            <w:r>
              <w:rPr>
                <w:rFonts w:ascii="Times New Roman;Times;serif" w:hAnsi="Times New Roman;Times;serif"/>
                <w:color w:val="000000"/>
                <w:sz w:val="20"/>
              </w:rPr>
              <w:t>60,309</w:t>
            </w:r>
          </w:p>
        </w:tc>
      </w:tr>
      <w:tr>
        <w:trPr/>
        <w:tc>
          <w:tcPr>
            <w:tcW w:w="15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145" w:type="dxa"/>
            <w:tcBorders/>
            <w:vAlign w:val="center"/>
          </w:tcPr>
          <w:p>
            <w:pPr>
              <w:pStyle w:val="TableContents"/>
              <w:bidi w:val="0"/>
              <w:spacing w:before="0" w:after="0"/>
              <w:jc w:val="left"/>
              <w:rPr/>
            </w:pPr>
            <w:r>
              <w:rPr/>
              <w:t> </w:t>
            </w:r>
          </w:p>
        </w:tc>
      </w:tr>
    </w:tbl>
    <w:tbl>
      <w:tblPr>
        <w:tblW w:w="10205" w:type="dxa"/>
        <w:jc w:val="left"/>
        <w:tblInd w:w="0" w:type="dxa"/>
        <w:tblLayout w:type="fixed"/>
        <w:tblCellMar>
          <w:top w:w="0" w:type="dxa"/>
          <w:left w:w="0" w:type="dxa"/>
          <w:bottom w:w="0" w:type="dxa"/>
          <w:right w:w="0" w:type="dxa"/>
        </w:tblCellMar>
      </w:tblPr>
      <w:tblGrid>
        <w:gridCol w:w="186"/>
        <w:gridCol w:w="10019"/>
      </w:tblGrid>
      <w:tr>
        <w:trPr/>
        <w:tc>
          <w:tcPr>
            <w:tcW w:w="18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1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These amounts do not take into account any potential cutback that may apply to the payments and benefits to be received by a Synaptics NEO in order to avoid the adverse tax consequences of Section 280G of the Code. Such cutback would apply only if the other potential mitigation strategies permitted under the Merger Agreement (if adopted by Synaptics) do not fully address issues arising under Sections 280G and 4999 of the Code and only if it would put the NEO in a better after-tax position.</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Rizvi resigned from the position of Chief Financial Officer on August 20, 2026, effective immediately, and remained employed through September 29, 2026 to provide transitional and advisory services. As a result of the termination of his employment prior to the effective time, Mr. Rizvi will not receive any compensation that is based on or otherwise relates to the Merger. Mr. Patel has assumed the duties of Chief Financial Officer through the effective time.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89" w:name="ny20081083x2_defm14a_117-prop1_pg1"/>
        <w:bookmarkEnd w:id="18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0" w:name="tPROP1"/>
      <w:bookmarkEnd w:id="190"/>
      <w:r>
        <w:rPr>
          <w:rFonts w:ascii="Times New Roman;Times;serif" w:hAnsi="Times New Roman;Times;serif"/>
          <w:b/>
          <w:color w:val="000000"/>
          <w:sz w:val="20"/>
        </w:rPr>
        <w:t xml:space="preserve">PROPOSAL I—ADOPTION OF THE MERGER AGREEMENT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adopt the Merger Agreement, on the terms and subject to the conditions of the Merger Agreement. For a detailed discussion of the terms of the Merger Agreement, see the section titled “The Merger Agreement.” At a meeting held on September 29, 2026, the Synaptics board unanimously (i) determined that the Merger Agreement and the transactions contemplated by the Merger Agreement, including the Merger, are fair to and in the best interests of Synaptics and its stockholders, (ii) approved and declared advisable the execution and delivery of the Merger Agreement and the consummation of the transactions contemplated by the Merger Agreement, including the Merger, on the terms and subject to the conditions set forth in the Merger Agreement, (iii) recommended that Synaptics stockholders adopt and approve the Merger Agreement and the transactions contemplated by the Merger Agreement, including the Merger, and (iv) directed that the Merger Agreement be submitted to a vote of Synaptics stockholders for adoption at a duly held meeting of Synaptics stockholders for such purpose.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Approval of the Merger Proposal is a condition to the closing of the Merger. If the Merger Proposal is not approved, the Merger will not occur. For a detailed discussion of the terms and conditions of the Merger, see the section titled “The Merger Agreement-Conditions to the Merger.”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Approval of the Merger Proposal requires the affirmative vote of holders of a majority of the issued and outstanding shares of Synaptics common stock as of the Record Date and entitled to vote thereon. The required vote is based on the number of outstanding shares-not the number of shares actually voted. The failure of any Synaptics stockholder to submit a vote (i.e., by not submitting a proxy and not voting at the Special Meeting) and any abstention from voting by a Synaptics stockholder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the Merger Proposal. Because the Merger Proposal is non-routine, brokers, banks and other nominees do not have discretionary authority to vote on the Merger Proposal, and will not be able to vote on the Merger Proposal absent instructions from the beneficial owner of any Synaptics shares held of record by them. As a result, such failure to provide instructions will have the same effect as a vote “</w:t>
      </w:r>
      <w:r>
        <w:rPr>
          <w:rFonts w:ascii="Times New Roman;Times;serif" w:hAnsi="Times New Roman;Times;serif"/>
          <w:b/>
          <w:i/>
          <w:color w:val="000000"/>
          <w:sz w:val="20"/>
        </w:rPr>
        <w:t>AGAINST</w:t>
      </w:r>
      <w:r>
        <w:rPr>
          <w:rFonts w:ascii="Times New Roman;Times;serif" w:hAnsi="Times New Roman;Times;serif"/>
          <w:color w:val="000000"/>
          <w:sz w:val="20"/>
        </w:rPr>
        <w:t xml:space="preserve">” the Merger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MERGER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1" w:name="ny20081083x2_defm14a_118-prop2_pg1"/>
        <w:bookmarkEnd w:id="19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2" w:name="tPROP2"/>
      <w:bookmarkEnd w:id="192"/>
      <w:r>
        <w:rPr>
          <w:rFonts w:ascii="Times New Roman;Times;serif" w:hAnsi="Times New Roman;Times;serif"/>
          <w:b/>
          <w:color w:val="000000"/>
          <w:sz w:val="20"/>
        </w:rPr>
        <w:t>PROPOSAL II—NON-BINDING ADVISORY VOTE ON TRANSACTION-RELATED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COMPENSATION FOR CERTAIN SYNAPTICS EXECUTIVE OFFICERS </w:t>
      </w:r>
    </w:p>
    <w:p>
      <w:pPr>
        <w:pStyle w:val="TextBody"/>
        <w:bidi w:val="0"/>
        <w:spacing w:before="120" w:after="283"/>
        <w:ind w:left="0" w:right="0" w:firstLine="400"/>
        <w:jc w:val="both"/>
        <w:rPr/>
      </w:pPr>
      <w:r>
        <w:rPr>
          <w:rFonts w:ascii="Times New Roman;Times;serif" w:hAnsi="Times New Roman;Times;serif"/>
          <w:color w:val="000000"/>
          <w:sz w:val="20"/>
        </w:rPr>
        <w:t>Section 14A of the Exchange Act, which was enacted as part of the Dodd-Frank Act, requires that Synaptics provide its stockholders with the opportunity to vote to approve, on a non-binding advisory basis, certain compensation that may be paid or become payable to Synaptics’ named executive officers in connection with the Merger, as disclosed in this proxy statement, including the compensation table and the related narrative named executive officer compensation disclosures set forth in the section titled “Interests of Synaptics’ Directors and Executive Officers in the Merger—Quantification of Potential Payments and Benefits to Synaptics’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 This vote is commonly referred to as a “golden parachute say on pay”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Accordingly, the Synaptics board unanimously recommends that Synaptics stockholders vote “</w:t>
      </w:r>
      <w:r>
        <w:rPr>
          <w:rFonts w:ascii="Times New Roman;Times;serif" w:hAnsi="Times New Roman;Times;serif"/>
          <w:b/>
          <w:i/>
          <w:color w:val="000000"/>
          <w:sz w:val="20"/>
        </w:rPr>
        <w:t>FOR</w:t>
      </w:r>
      <w:r>
        <w:rPr>
          <w:rFonts w:ascii="Times New Roman;Times;serif" w:hAnsi="Times New Roman;Times;serif"/>
          <w:color w:val="000000"/>
          <w:sz w:val="20"/>
        </w:rPr>
        <w:t xml:space="preserve">” the adoption of the following resolution, on a non-binding advisory basis, at the Special Meeting: </w:t>
      </w:r>
    </w:p>
    <w:p>
      <w:pPr>
        <w:pStyle w:val="TextBody"/>
        <w:bidi w:val="0"/>
        <w:spacing w:before="120" w:after="283"/>
        <w:ind w:left="0" w:right="0" w:firstLine="400"/>
        <w:jc w:val="both"/>
        <w:rPr/>
      </w:pPr>
      <w:r>
        <w:rPr>
          <w:color w:val="000000"/>
        </w:rPr>
        <w:t>“</w:t>
      </w:r>
      <w:r>
        <w:rPr>
          <w:rFonts w:ascii="Times New Roman;Times;serif" w:hAnsi="Times New Roman;Times;serif"/>
          <w:color w:val="000000"/>
          <w:sz w:val="20"/>
        </w:rPr>
        <w:t>RESOLVED, that Synaptics’ stockholders approve, on an advisory (non-binding) basis, certain compensation that may be paid or become payable to Synaptics’ named executive officers in connection with the Merger, as disclosed pursuant to Item 402(t) of Regulation S-K in “Interests of Synaptics’ Directors and Executive Officers in the Merger-Quantification of Potential Payments and Benefits to Synaptics’ Named Executive Officers” beginning on page </w:t>
      </w:r>
      <w:hyperlink w:anchor="tQPPB">
        <w:r>
          <w:rPr>
            <w:rStyle w:val="InternetLink"/>
            <w:rFonts w:ascii="Times New Roman;Times;serif" w:hAnsi="Times New Roman;Times;serif"/>
            <w:color w:val="000080"/>
            <w:sz w:val="20"/>
          </w:rPr>
          <w:t>113</w:t>
        </w:r>
      </w:hyperlink>
      <w:r>
        <w:rPr>
          <w:rFonts w:ascii="Times New Roman;Times;serif" w:hAnsi="Times New Roman;Times;serif"/>
          <w:color w:val="000000"/>
          <w:sz w:val="20"/>
        </w:rPr>
        <w:t xml:space="preserve"> of this proxy statement (which disclosure includes the compensation table and related narrative named executive officer compensation disclosures required pursuant to Item 402(t) of Regulation S-K).”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stockholders should note that the Advisory Compensation Proposal is merely an advisory vote, which will not be binding on Synaptics, onsemi or their respective boards of directors. Further, the underlying plans and arrangements are contractual in nature and not, by their terms, subject to stockholder approval. Accordingly, regardless of the outcome of the advisory vote, if the Merger is consummated, the eligibility of the Synaptics named executive officers for such payments and benefits will not be affected by the outcome of the advisory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affirmative vote of the holders of a majority of the votes cast on such matter, voting affirmatively or negatively (excluding abstentions and broker non-votes), where a quorum is present, is required to approve the Advisory Compensation Proposal. The required vote on the Advisory Compensation Proposal is based on the number of shares actually voted-not the number of outstanding shares of Synaptics common stock entitled to be voted thereon. Abstentions from voting by a Synaptics stockholder attending the Special Meeting or a failure to attend the Special Meeting virtually or by proxy will have no effect on the outcome of the vote on the Advisory Compensation Proposal. Brokers do not have discretion to vote on this proposal without your instruction. If you do not instruct your broker how to vote on this proposal, those shares will not be counted as present or represented by proxy at the Special Meeting and, as a result, will have no effect on the outcome of the vote on the Advisory Compensation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ADVISORY COMPENSATION PROPOSAL</w:t>
      </w:r>
      <w:r>
        <w:rPr>
          <w:rFonts w:ascii="Times New Roman;Times;serif" w:hAnsi="Times New Roman;Times;serif"/>
          <w:b w:val="false"/>
          <w:color w:val="000000"/>
          <w:sz w:val="20"/>
        </w:rPr>
        <w:t>.</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3" w:name="ny20081083x2_defm14a_119-prop3_pg1"/>
        <w:bookmarkEnd w:id="19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4" w:name="tPROP3"/>
      <w:bookmarkEnd w:id="194"/>
      <w:r>
        <w:rPr>
          <w:rFonts w:ascii="Times New Roman;Times;serif" w:hAnsi="Times New Roman;Times;serif"/>
          <w:b/>
          <w:color w:val="000000"/>
          <w:sz w:val="20"/>
        </w:rPr>
        <w:t xml:space="preserve">PROPOSAL III—ADJOURNMENT OF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is asking its stockholders to approve the adjournment of the Special Meeting from time to time, if necessary or appropriate, to solicit additional proxies if there are not sufficient votes at the time of the Special Meeting to approve the Merger Proposal or if a quorum is not present at the Special Meeting or to ensure that any supplement or amendment to this proxy statement is timely provided to Synaptics stockholders. </w:t>
      </w:r>
    </w:p>
    <w:p>
      <w:pPr>
        <w:pStyle w:val="TextBody"/>
        <w:bidi w:val="0"/>
        <w:spacing w:before="410" w:after="283"/>
        <w:ind w:left="0" w:right="0" w:hanging="0"/>
        <w:jc w:val="left"/>
        <w:rPr>
          <w:rFonts w:ascii="Times New Roman;Times;serif" w:hAnsi="Times New Roman;Times;serif"/>
          <w:b/>
          <w:color w:val="000000"/>
          <w:sz w:val="20"/>
        </w:rPr>
      </w:pPr>
      <w:r>
        <w:rPr>
          <w:rFonts w:ascii="Times New Roman;Times;serif" w:hAnsi="Times New Roman;Times;serif"/>
          <w:b/>
          <w:color w:val="000000"/>
          <w:sz w:val="20"/>
        </w:rPr>
        <w:t xml:space="preserve">Required Vote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Assuming a quorum is present, approval of the Adjournment Proposal requires the affirmative vote of the holders of a majority of the votes cast on such matter, voting in favor of or against such proposal (excluding abstentions and broker non-votes). If a quorum is not present, approval of the Adjournment Proposal requires a majority in voting power of stockholders present. Assuming a quorum is present, abstentions from voting by a Synaptics stockholder attending the Special Meeting or a failure to attend the Special Meeting virtually or by proxy will have no effect on the outcome of the vote on the Adjournment Proposal. If a quorum is not present, failure to attend the Special Meeting virtually or by proxy will have no effect on the outcome of the vote on the Adjournment Proposal, but abstentions from voting by a Synaptics stockholder attending the Special Meeting will have the same effect as a vote “</w:t>
      </w:r>
      <w:r>
        <w:rPr>
          <w:rFonts w:ascii="Times New Roman;Times;serif" w:hAnsi="Times New Roman;Times;serif"/>
          <w:b/>
          <w:color w:val="000000"/>
          <w:sz w:val="20"/>
        </w:rPr>
        <w:t>AGAINST</w:t>
      </w:r>
      <w:r>
        <w:rPr>
          <w:rFonts w:ascii="Times New Roman;Times;serif" w:hAnsi="Times New Roman;Times;serif"/>
          <w:color w:val="000000"/>
          <w:sz w:val="20"/>
        </w:rPr>
        <w:t xml:space="preserve">” the Adjournment Proposal. Brokers do not have discretion to vote on this proposal without your instruction. If you do not instruct your broker how to vote and you are not deemed present at the Special Meeting, those shares will not be counted as present or represented by proxy at the Special Meeting and, as a result, will have no effect on the outcome of the vote on the Adjournment Proposal. </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IF YOU ARE A SYNAPTICS STOCKHOLDER, THE SYNAPTICS BOARD UNANIMOUSLY RECOMMENDS THAT YOU VOTE “FOR” THE ADJOURNMENT PROPOSAL</w:t>
      </w:r>
      <w:r>
        <w:rPr>
          <w:rFonts w:ascii="Times New Roman;Times;serif" w:hAnsi="Times New Roman;Times;serif"/>
          <w:b w:val="false"/>
          <w:color w:val="000000"/>
          <w:sz w:val="20"/>
        </w:rPr>
        <w:t xml:space="preserve">.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5" w:name="ny20081083x2_defm14a_123-security01_pg1"/>
        <w:bookmarkEnd w:id="19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6" w:name="tSOS"/>
      <w:bookmarkEnd w:id="196"/>
      <w:r>
        <w:rPr>
          <w:rFonts w:ascii="Times New Roman;Times;serif" w:hAnsi="Times New Roman;Times;serif"/>
          <w:b/>
          <w:color w:val="000000"/>
          <w:sz w:val="20"/>
        </w:rPr>
        <w:t>SECURITY OWNERSHIP OF CERTAIN BENEFICIAL OWNERS AND</w:t>
      </w:r>
    </w:p>
    <w:p>
      <w:pPr>
        <w:pStyle w:val="TextBody"/>
        <w:bidi w:val="0"/>
        <w:spacing w:before="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MANAGEMENT OF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following table sets forth certain information regarding the ownership of Synaptics common stock as of October 13, 2026 by: (i) each director Synaptics; (ii) each named executive officer of Synaptics; (iii) all current executive officers and directors of Synaptics as a group; and (iv) all those known by Synaptics to be beneficial owners of more than five percent of its common stock.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determined beneficial ownership in accordance with the rules and regulations of the SEC, and the information is not necessarily indicative of beneficial ownership for any other purpose. Except as indicated by the footnotes below, Synaptics believes, based on information furnished to Synaptics, all shares of Synaptics common stock are owned directly, and the indicated person or entity has sole voting and investment power with respect to all of the shares of Synaptics common stock beneficially owned by such person or entity other than restricted stock, as to which a person has sole voting power but no dispositive power.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Unless otherwise noted below, the address of each stockholder below is c/Synaptics Incorporated, 1109 McKay Drive, San Jose, California 95131. </w:t>
      </w:r>
    </w:p>
    <w:tbl>
      <w:tblPr>
        <w:tblW w:w="8852" w:type="dxa"/>
        <w:jc w:val="left"/>
        <w:tblInd w:w="0" w:type="dxa"/>
        <w:tblLayout w:type="fixed"/>
        <w:tblCellMar>
          <w:top w:w="0" w:type="dxa"/>
          <w:left w:w="0" w:type="dxa"/>
          <w:bottom w:w="0" w:type="dxa"/>
          <w:right w:w="0" w:type="dxa"/>
        </w:tblCellMar>
      </w:tblPr>
      <w:tblGrid>
        <w:gridCol w:w="6035"/>
        <w:gridCol w:w="140"/>
        <w:gridCol w:w="140"/>
        <w:gridCol w:w="1097"/>
        <w:gridCol w:w="181"/>
        <w:gridCol w:w="181"/>
        <w:gridCol w:w="1078"/>
      </w:tblGrid>
      <w:tr>
        <w:trPr/>
        <w:tc>
          <w:tcPr>
            <w:tcW w:w="6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vAlign w:val="center"/>
          </w:tcPr>
          <w:p>
            <w:pPr>
              <w:pStyle w:val="TableContents"/>
              <w:bidi w:val="0"/>
              <w:spacing w:before="0" w:after="0"/>
              <w:jc w:val="left"/>
              <w:rPr/>
            </w:pPr>
            <w:r>
              <w:rPr/>
              <w:t> </w:t>
            </w:r>
          </w:p>
        </w:tc>
      </w:tr>
      <w:tr>
        <w:trPr/>
        <w:tc>
          <w:tcPr>
            <w:tcW w:w="603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537" w:type="dxa"/>
            <w:gridSpan w:val="4"/>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Beneficial Ownership of Synaptics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common stock(1) </w:t>
            </w:r>
          </w:p>
        </w:tc>
      </w:tr>
      <w:tr>
        <w:trPr/>
        <w:tc>
          <w:tcPr>
            <w:tcW w:w="6035" w:type="dxa"/>
            <w:tcBorders>
              <w:bottom w:val="single" w:sz="8" w:space="0" w:color="000000"/>
            </w:tcBorders>
            <w:tcMar>
              <w:bottom w:w="48" w:type="dxa"/>
            </w:tcMar>
            <w:vAlign w:val="center"/>
          </w:tcPr>
          <w:p>
            <w:pPr>
              <w:pStyle w:val="TableContents"/>
              <w:bidi w:val="0"/>
              <w:spacing w:before="0" w:after="283"/>
              <w:ind w:left="0" w:right="0" w:hanging="0"/>
              <w:jc w:val="left"/>
              <w:rPr>
                <w:rFonts w:ascii="Times New Roman;Times;serif" w:hAnsi="Times New Roman;Times;serif"/>
                <w:b/>
                <w:color w:val="000000"/>
                <w:sz w:val="16"/>
              </w:rPr>
            </w:pPr>
            <w:r>
              <w:rPr>
                <w:rFonts w:ascii="Times New Roman;Times;serif" w:hAnsi="Times New Roman;Times;serif"/>
                <w:b/>
                <w:color w:val="000000"/>
                <w:sz w:val="16"/>
              </w:rPr>
              <w:t>Name of Beneficial Owner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Number of </w:t>
            </w:r>
          </w:p>
          <w:p>
            <w:pPr>
              <w:pStyle w:val="TableContents"/>
              <w:bidi w:val="0"/>
              <w:spacing w:lineRule="auto" w:line="240" w:before="0" w:after="283"/>
              <w:jc w:val="center"/>
              <w:rPr>
                <w:rFonts w:ascii="Times New Roman;Times;serif" w:hAnsi="Times New Roman;Times;serif"/>
                <w:b/>
                <w:color w:val="000000"/>
                <w:sz w:val="16"/>
              </w:rPr>
            </w:pPr>
            <w:r>
              <w:rPr>
                <w:rFonts w:ascii="Times New Roman;Times;serif" w:hAnsi="Times New Roman;Times;serif"/>
                <w:b/>
                <w:color w:val="000000"/>
                <w:sz w:val="16"/>
              </w:rPr>
              <w:t>Shares(2)</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bottom w:val="single" w:sz="8" w:space="0" w:color="000000"/>
            </w:tcBorders>
            <w:tcMar>
              <w:bottom w:w="4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Percent of </w:t>
            </w:r>
          </w:p>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Class </w:t>
            </w:r>
          </w:p>
        </w:tc>
      </w:tr>
      <w:tr>
        <w:trPr/>
        <w:tc>
          <w:tcPr>
            <w:tcW w:w="6035" w:type="dxa"/>
            <w:tcBorders/>
            <w:shd w:fill="CCEEFF" w:val="clear"/>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Directors and Named Executive Officers: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0"/>
              <w:jc w:val="center"/>
              <w:rPr>
                <w:color w:val="000000"/>
              </w:rPr>
            </w:pPr>
            <w:r>
              <w:rPr>
                <w:color w:val="000000"/>
              </w:rPr>
              <w:t>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0"/>
              <w:jc w:val="center"/>
              <w:rPr>
                <w:color w:val="000000"/>
              </w:rPr>
            </w:pPr>
            <w:r>
              <w:rPr>
                <w:color w:val="000000"/>
              </w:rPr>
              <w:t>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Rahul Patel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34,951</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Ken Rizvi(3)</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53,695</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Lisa Bodensteiner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25,157</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Satish Ganesan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29,690</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Vikram Gupta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39,231</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Nelson C. Chan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45,719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Jeffrey D. Buchanan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21,657</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Keith B. Geeslin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40,977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Susan J. Hardman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14,334</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Patricia Kummrow</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11,838</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Vivie Lee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10,958</w:t>
            </w:r>
            <w:r>
              <w:rPr>
                <w:rFonts w:ascii="Times New Roman;Times;serif" w:hAnsi="Times New Roman;Times;serif"/>
                <w:color w:val="000000"/>
                <w:sz w:val="20"/>
              </w:rPr>
              <w:t xml:space="preserve">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Venkatesh Nathamuni</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2,300</w:t>
            </w:r>
            <w:r>
              <w:rPr>
                <w:rFonts w:ascii="Times New Roman;Times;serif" w:hAnsi="Times New Roman;Times;serif"/>
                <w:color w:val="000000"/>
                <w:sz w:val="20"/>
              </w:rPr>
              <w:t xml:space="preserve"> </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James L. Whims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25,226</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shd w:fill="CCEEFF" w:val="clear"/>
            <w:vAlign w:val="center"/>
          </w:tcPr>
          <w:p>
            <w:pPr>
              <w:pStyle w:val="TableContents"/>
              <w:bidi w:val="0"/>
              <w:spacing w:lineRule="auto" w:line="240"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All current directors and executive officers as a group (12 individuals)(10)</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302,038</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 </w:t>
            </w:r>
          </w:p>
        </w:tc>
      </w:tr>
      <w:tr>
        <w:trPr/>
        <w:tc>
          <w:tcPr>
            <w:tcW w:w="6035" w:type="dxa"/>
            <w:tcBorders/>
            <w:vAlign w:val="center"/>
          </w:tcPr>
          <w:p>
            <w:pPr>
              <w:pStyle w:val="TableContents"/>
              <w:bidi w:val="0"/>
              <w:spacing w:before="0" w:after="283"/>
              <w:ind w:left="0" w:right="0" w:hanging="0"/>
              <w:jc w:val="left"/>
              <w:rPr>
                <w:rFonts w:ascii="Times New Roman;Times;serif" w:hAnsi="Times New Roman;Times;serif"/>
                <w:i/>
                <w:color w:val="000000"/>
                <w:sz w:val="20"/>
              </w:rPr>
            </w:pPr>
            <w:r>
              <w:rPr>
                <w:rFonts w:ascii="Times New Roman;Times;serif" w:hAnsi="Times New Roman;Times;serif"/>
                <w:i/>
                <w:color w:val="000000"/>
                <w:sz w:val="20"/>
              </w:rPr>
              <w:t>5% Stockholders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center"/>
              <w:rPr>
                <w:color w:val="000000"/>
              </w:rPr>
            </w:pPr>
            <w:r>
              <w:rPr>
                <w:color w:val="000000"/>
              </w:rPr>
              <w:t>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center"/>
              <w:rPr>
                <w:color w:val="000000"/>
              </w:rPr>
            </w:pPr>
            <w:r>
              <w:rPr>
                <w:color w:val="000000"/>
              </w:rPr>
              <w:t>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Ameriprise Financial, Inc.(4)</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7,547,699</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19.01% </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BlackRock, Inc.(5)</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4,883,900</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12.30%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Portfolio Management(6)</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2,680,267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6.75% </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FMR LLC(7)</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2,211,640</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 xml:space="preserve">5.57% </w:t>
            </w:r>
          </w:p>
        </w:tc>
      </w:tr>
      <w:tr>
        <w:trPr/>
        <w:tc>
          <w:tcPr>
            <w:tcW w:w="6035" w:type="dxa"/>
            <w:tcBorders/>
            <w:shd w:fill="CCEEFF" w:val="clear"/>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State Street Corporation(8)</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097" w:type="dxa"/>
            <w:tcBorders/>
            <w:shd w:fill="CCEEFF" w:val="clear"/>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2,029,867</w:t>
            </w:r>
          </w:p>
        </w:tc>
        <w:tc>
          <w:tcPr>
            <w:tcW w:w="181" w:type="dxa"/>
            <w:tcBorders/>
            <w:shd w:fill="CCEEFF" w:val="clear"/>
            <w:vAlign w:val="center"/>
          </w:tcPr>
          <w:p>
            <w:pPr>
              <w:pStyle w:val="TableContents"/>
              <w:bidi w:val="0"/>
              <w:spacing w:before="0" w:after="0"/>
              <w:jc w:val="left"/>
              <w:rPr/>
            </w:pPr>
            <w:r>
              <w:rPr/>
              <w:t> </w:t>
            </w:r>
          </w:p>
        </w:tc>
        <w:tc>
          <w:tcPr>
            <w:tcW w:w="181" w:type="dxa"/>
            <w:tcBorders/>
            <w:shd w:fill="CCEEFF" w:val="clear"/>
            <w:vAlign w:val="center"/>
          </w:tcPr>
          <w:p>
            <w:pPr>
              <w:pStyle w:val="TableContents"/>
              <w:bidi w:val="0"/>
              <w:spacing w:before="0" w:after="0"/>
              <w:jc w:val="left"/>
              <w:rPr/>
            </w:pPr>
            <w:r>
              <w:rPr/>
              <w:t> </w:t>
            </w:r>
          </w:p>
        </w:tc>
        <w:tc>
          <w:tcPr>
            <w:tcW w:w="1078" w:type="dxa"/>
            <w:tcBorders/>
            <w:shd w:fill="CCEEFF" w:val="clear"/>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5.11%</w:t>
            </w:r>
          </w:p>
        </w:tc>
      </w:tr>
      <w:tr>
        <w:trPr/>
        <w:tc>
          <w:tcPr>
            <w:tcW w:w="6035" w:type="dxa"/>
            <w:tcBorders/>
            <w:vAlign w:val="center"/>
          </w:tcPr>
          <w:p>
            <w:pPr>
              <w:pStyle w:val="TableContents"/>
              <w:bidi w:val="0"/>
              <w:spacing w:lineRule="auto" w:line="240" w:before="0" w:after="283"/>
              <w:ind w:left="200" w:right="0" w:hanging="0"/>
              <w:jc w:val="left"/>
              <w:rPr>
                <w:rFonts w:ascii="Times New Roman;Times;serif" w:hAnsi="Times New Roman;Times;serif"/>
                <w:color w:val="000000"/>
                <w:sz w:val="20"/>
              </w:rPr>
            </w:pPr>
            <w:r>
              <w:rPr>
                <w:rFonts w:ascii="Times New Roman;Times;serif" w:hAnsi="Times New Roman;Times;serif"/>
                <w:color w:val="000000"/>
                <w:sz w:val="20"/>
              </w:rPr>
              <w:t>Vanguard Capital Management(9)</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283"/>
              <w:ind w:left="182" w:right="0" w:hanging="0"/>
              <w:jc w:val="left"/>
              <w:rPr>
                <w:rFonts w:ascii="Times New Roman;Times;serif" w:hAnsi="Times New Roman;Times;serif"/>
                <w:color w:val="000000"/>
                <w:sz w:val="20"/>
              </w:rPr>
            </w:pPr>
            <w:r>
              <w:rPr>
                <w:rFonts w:ascii="Times New Roman;Times;serif" w:hAnsi="Times New Roman;Times;serif"/>
                <w:color w:val="000000"/>
                <w:sz w:val="20"/>
              </w:rPr>
              <w:t>1,978,223</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283"/>
              <w:ind w:left="304" w:right="0" w:hanging="0"/>
              <w:jc w:val="left"/>
              <w:rPr>
                <w:rFonts w:ascii="Times New Roman;Times;serif" w:hAnsi="Times New Roman;Times;serif"/>
                <w:color w:val="000000"/>
                <w:sz w:val="20"/>
              </w:rPr>
            </w:pPr>
            <w:r>
              <w:rPr>
                <w:rFonts w:ascii="Times New Roman;Times;serif" w:hAnsi="Times New Roman;Times;serif"/>
                <w:color w:val="000000"/>
                <w:sz w:val="20"/>
              </w:rPr>
              <w:t>4.98%</w:t>
            </w:r>
          </w:p>
        </w:tc>
      </w:tr>
      <w:tr>
        <w:trPr/>
        <w:tc>
          <w:tcPr>
            <w:tcW w:w="603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097"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81" w:type="dxa"/>
            <w:tcBorders/>
            <w:vAlign w:val="center"/>
          </w:tcPr>
          <w:p>
            <w:pPr>
              <w:pStyle w:val="TableContents"/>
              <w:bidi w:val="0"/>
              <w:spacing w:before="0" w:after="0"/>
              <w:jc w:val="left"/>
              <w:rPr/>
            </w:pPr>
            <w:r>
              <w:rPr/>
              <w:t> </w:t>
            </w:r>
          </w:p>
        </w:tc>
        <w:tc>
          <w:tcPr>
            <w:tcW w:w="1078" w:type="dxa"/>
            <w:tcBorders/>
            <w:vAlign w:val="center"/>
          </w:tcPr>
          <w:p>
            <w:pPr>
              <w:pStyle w:val="TableContents"/>
              <w:bidi w:val="0"/>
              <w:spacing w:before="0" w:after="0"/>
              <w:jc w:val="left"/>
              <w:rPr/>
            </w:pPr>
            <w:r>
              <w:rPr/>
              <w:t> </w:t>
            </w:r>
          </w:p>
        </w:tc>
      </w:tr>
    </w:tbl>
    <w:tbl>
      <w:tblPr>
        <w:tblW w:w="1090" w:type="dxa"/>
        <w:jc w:val="left"/>
        <w:tblInd w:w="0" w:type="dxa"/>
        <w:tblLayout w:type="fixed"/>
        <w:tblCellMar>
          <w:top w:w="0" w:type="dxa"/>
          <w:left w:w="0" w:type="dxa"/>
          <w:bottom w:w="0" w:type="dxa"/>
          <w:right w:w="0" w:type="dxa"/>
        </w:tblCellMar>
      </w:tblPr>
      <w:tblGrid>
        <w:gridCol w:w="110"/>
        <w:gridCol w:w="980"/>
      </w:tblGrid>
      <w:tr>
        <w:trPr/>
        <w:tc>
          <w:tcPr>
            <w:tcW w:w="11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w:t>
            </w:r>
          </w:p>
        </w:tc>
        <w:tc>
          <w:tcPr>
            <w:tcW w:w="9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 xml:space="preserve">Less than 1% </w:t>
            </w:r>
          </w:p>
        </w:tc>
      </w:tr>
    </w:tbl>
    <w:tbl>
      <w:tblPr>
        <w:tblW w:w="10205" w:type="dxa"/>
        <w:jc w:val="left"/>
        <w:tblInd w:w="0" w:type="dxa"/>
        <w:tblLayout w:type="fixed"/>
        <w:tblCellMar>
          <w:top w:w="0" w:type="dxa"/>
          <w:left w:w="0" w:type="dxa"/>
          <w:bottom w:w="0" w:type="dxa"/>
          <w:right w:w="0" w:type="dxa"/>
        </w:tblCellMar>
      </w:tblPr>
      <w:tblGrid>
        <w:gridCol w:w="187"/>
        <w:gridCol w:w="10018"/>
      </w:tblGrid>
      <w:tr>
        <w:trPr/>
        <w:tc>
          <w:tcPr>
            <w:tcW w:w="18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w:t>
            </w:r>
          </w:p>
        </w:tc>
        <w:tc>
          <w:tcPr>
            <w:tcW w:w="1001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This table is based on information supplied by officers and directors and principal Synaptics stockholders and Schedules 13D and 13G and Forms 3 and 4 filed with the SEC. Unless otherwise indicated in the footnotes to this table and subject to community property laws where applicable, Synaptics believes that each of the stockholders named in the table has sole voting and investment power with respect to the shares indicated as beneficially owned. </w:t>
            </w:r>
          </w:p>
        </w:tc>
      </w:tr>
    </w:tbl>
    <w:tbl>
      <w:tblPr>
        <w:tblW w:w="10205" w:type="dxa"/>
        <w:jc w:val="left"/>
        <w:tblInd w:w="0" w:type="dxa"/>
        <w:tblLayout w:type="fixed"/>
        <w:tblCellMar>
          <w:top w:w="0" w:type="dxa"/>
          <w:left w:w="0" w:type="dxa"/>
          <w:bottom w:w="0" w:type="dxa"/>
          <w:right w:w="0" w:type="dxa"/>
        </w:tblCellMar>
      </w:tblPr>
      <w:tblGrid>
        <w:gridCol w:w="180"/>
        <w:gridCol w:w="10025"/>
      </w:tblGrid>
      <w:tr>
        <w:trPr/>
        <w:tc>
          <w:tcPr>
            <w:tcW w:w="18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(2)</w:t>
            </w:r>
          </w:p>
        </w:tc>
        <w:tc>
          <w:tcPr>
            <w:tcW w:w="1002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number of shares of common stock beneficially owned by a stockholder is based on SEC regulations regarding the beneficial ownership of securities. The number of shares of common stock beneficially owned by a person includes any stock options of such person that are vested or will vest within 60 days of October 13, 2026. The percentage of outstanding shares of common stock beneficially owned by a person is based on 39,701,387 shares of common stock outstanding as of October 13, 2026. Unless otherwise indicated, the percentage of outstanding shares of common stock beneficially owned by a person also assumes that no options to acquire shares of common stock held by other persons are exercised within 60 days of October 13, 2026.</w:t>
            </w:r>
          </w:p>
        </w:tc>
      </w:tr>
    </w:tbl>
    <w:tbl>
      <w:tblPr>
        <w:tblW w:w="10205" w:type="dxa"/>
        <w:jc w:val="left"/>
        <w:tblInd w:w="0" w:type="dxa"/>
        <w:tblLayout w:type="fixed"/>
        <w:tblCellMar>
          <w:top w:w="0" w:type="dxa"/>
          <w:left w:w="0" w:type="dxa"/>
          <w:bottom w:w="0" w:type="dxa"/>
          <w:right w:w="0" w:type="dxa"/>
        </w:tblCellMar>
      </w:tblPr>
      <w:tblGrid>
        <w:gridCol w:w="200"/>
        <w:gridCol w:w="10005"/>
      </w:tblGrid>
      <w:tr>
        <w:trPr/>
        <w:tc>
          <w:tcPr>
            <w:tcW w:w="200"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(3)</w:t>
            </w:r>
          </w:p>
        </w:tc>
        <w:tc>
          <w:tcPr>
            <w:tcW w:w="10005"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Mr. Rizvi resigned from the position of Chief Financial Officer on August 20, 2026, effective immediately, and remained employed through September 29, 2026. The amount reflected in this table is based on information provided by Mr. Rizvi prior to his departure.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7" w:name="ny20081083x2_defm14a_123-security01_pg2"/>
        <w:bookmarkEnd w:id="197"/>
        <w:r>
          <w:rPr>
            <w:rStyle w:val="InternetLink"/>
            <w:rFonts w:ascii="Times New Roman;Times;Serif" w:hAnsi="Times New Roman;Times;Serif"/>
            <w:b/>
            <w:caps w:val="false"/>
            <w:smallCaps w:val="false"/>
            <w:color w:val="000000"/>
            <w:sz w:val="16"/>
          </w:rPr>
          <w:t>TABLE OF CONTENTS</w:t>
        </w:r>
      </w:hyperlink>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(4)</w:t>
            </w:r>
          </w:p>
        </w:tc>
        <w:tc>
          <w:tcPr>
            <w:tcW w:w="10028"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May 15, 2026. Ameriprise Financial, Inc. (“AFI”) has shared power to direct the disposition 7,547,699 shares and shared power to vote 6,970,206 shares. AFI is the parent holding company of Columbia Management Investment Advisors, LLC (“CMIA”) which has shared power to direct the disposition of 7,236,873 shares and shared power to vote 6,970,206 shares. CMIA is the investment advisor to Columbia Seligman Communications and Information Fund (the “Fund”), an investment company, which has the shared power to direct the disposition of 4,575,900 shares and sole power to vote 4,575,900 shares. Both AFI and CMIA disclaim beneficial ownership of any shares reported on this Schedule 13G/A. The principal address of AFI is 145 Ameriprise Financial Center, Minneapolis, Minnesota 55474 and the principal address of CMIA and the Fund is 290 Congress Street, Boston, Massachusetts 02210.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(5)</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Amendment No. 18 to Schedule 13G/A as filed on April 23, 2025. BlackRock, Inc. has sole power to direct the disposition of 4,883,900 shares and sole power to vote 4,809,249 shares. The principal address of BlackRock, Inc. is 50 Hudson Yards, New York, New York 10001. </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(6)</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April 29, 2026. Vanguard Portfolio Management has sole power to direct the disposition of 2,680,267 shares and sole power to vote 16,603 shares. The principal address of Vanguard Portfolio Management is 100 Vanguard Blvd., Malvern, Pennsylvania 19355. </w:t>
            </w:r>
          </w:p>
        </w:tc>
      </w:tr>
    </w:tbl>
    <w:tbl>
      <w:tblPr>
        <w:tblW w:w="10205" w:type="dxa"/>
        <w:jc w:val="left"/>
        <w:tblInd w:w="0" w:type="dxa"/>
        <w:tblLayout w:type="fixed"/>
        <w:tblCellMar>
          <w:top w:w="0" w:type="dxa"/>
          <w:left w:w="0" w:type="dxa"/>
          <w:bottom w:w="0" w:type="dxa"/>
          <w:right w:w="0" w:type="dxa"/>
        </w:tblCellMar>
      </w:tblPr>
      <w:tblGrid>
        <w:gridCol w:w="199"/>
        <w:gridCol w:w="10006"/>
      </w:tblGrid>
      <w:tr>
        <w:trPr/>
        <w:tc>
          <w:tcPr>
            <w:tcW w:w="199"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(7)</w:t>
            </w:r>
          </w:p>
        </w:tc>
        <w:tc>
          <w:tcPr>
            <w:tcW w:w="10006"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The information is as reported on a Schedule 13G as filed on August 6, 2026. FMR LLC has sole power to direct the disposition of 2,211,640 shares and sole power to vote 2,192,018 shares. The principal address of FMR LLC is 245 Summer Street, Boston, Massachusetts 02210. </w:t>
            </w:r>
          </w:p>
        </w:tc>
      </w:tr>
    </w:tbl>
    <w:tbl>
      <w:tblPr>
        <w:tblW w:w="10205" w:type="dxa"/>
        <w:jc w:val="left"/>
        <w:tblInd w:w="0" w:type="dxa"/>
        <w:tblLayout w:type="fixed"/>
        <w:tblCellMar>
          <w:top w:w="0" w:type="dxa"/>
          <w:left w:w="0" w:type="dxa"/>
          <w:bottom w:w="0" w:type="dxa"/>
          <w:right w:w="0" w:type="dxa"/>
        </w:tblCellMar>
      </w:tblPr>
      <w:tblGrid>
        <w:gridCol w:w="196"/>
        <w:gridCol w:w="10009"/>
      </w:tblGrid>
      <w:tr>
        <w:trPr/>
        <w:tc>
          <w:tcPr>
            <w:tcW w:w="196"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(8)</w:t>
            </w:r>
          </w:p>
        </w:tc>
        <w:tc>
          <w:tcPr>
            <w:tcW w:w="10009"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information is as reported on Schedule 13G as filed on May 13, 2025. State Street Corporation has shared power to direct the disposition of 2,029,867 shares and shared power to vote 1,872,912 shares. The principal address of State Street Corporation One Congress Street, Suite 1, Boston, Massachusetts 02114.</w:t>
            </w:r>
          </w:p>
        </w:tc>
      </w:tr>
    </w:tbl>
    <w:tbl>
      <w:tblPr>
        <w:tblW w:w="10205" w:type="dxa"/>
        <w:jc w:val="left"/>
        <w:tblInd w:w="0" w:type="dxa"/>
        <w:tblLayout w:type="fixed"/>
        <w:tblCellMar>
          <w:top w:w="0" w:type="dxa"/>
          <w:left w:w="0" w:type="dxa"/>
          <w:bottom w:w="0" w:type="dxa"/>
          <w:right w:w="0" w:type="dxa"/>
        </w:tblCellMar>
      </w:tblPr>
      <w:tblGrid>
        <w:gridCol w:w="195"/>
        <w:gridCol w:w="10010"/>
      </w:tblGrid>
      <w:tr>
        <w:trPr/>
        <w:tc>
          <w:tcPr>
            <w:tcW w:w="19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(9)</w:t>
            </w:r>
          </w:p>
        </w:tc>
        <w:tc>
          <w:tcPr>
            <w:tcW w:w="1001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The information is as reported on a Schedule 13G as filed on April 30, 2026. Vanguard Capital Management has sole power to direct the disposition of 1,978,223 shares and sole power to vote 296,715 shares. The principal address of Vanguard Capital Management is 100 Vanguard Blvd., Malvern, Pennsylvania 19355.</w:t>
            </w:r>
          </w:p>
        </w:tc>
      </w:tr>
    </w:tbl>
    <w:tbl>
      <w:tblPr>
        <w:tblW w:w="10205" w:type="dxa"/>
        <w:jc w:val="left"/>
        <w:tblInd w:w="0" w:type="dxa"/>
        <w:tblLayout w:type="fixed"/>
        <w:tblCellMar>
          <w:top w:w="0" w:type="dxa"/>
          <w:left w:w="0" w:type="dxa"/>
          <w:bottom w:w="0" w:type="dxa"/>
          <w:right w:w="0" w:type="dxa"/>
        </w:tblCellMar>
      </w:tblPr>
      <w:tblGrid>
        <w:gridCol w:w="305"/>
        <w:gridCol w:w="9900"/>
      </w:tblGrid>
      <w:tr>
        <w:trPr/>
        <w:tc>
          <w:tcPr>
            <w:tcW w:w="305" w:type="dxa"/>
            <w:tcBorders/>
            <w:vAlign w:val="center"/>
          </w:tcPr>
          <w:p>
            <w:pPr>
              <w:pStyle w:val="TableContents"/>
              <w:bidi w:val="0"/>
              <w:spacing w:before="0" w:after="0"/>
              <w:jc w:val="left"/>
              <w:rPr>
                <w:rFonts w:ascii="Times New Roman;Times;serif" w:hAnsi="Times New Roman;Times;serif"/>
                <w:color w:val="000000"/>
                <w:sz w:val="16"/>
              </w:rPr>
            </w:pPr>
            <w:r>
              <w:rPr>
                <w:rFonts w:ascii="Times New Roman;Times;serif" w:hAnsi="Times New Roman;Times;serif"/>
                <w:color w:val="000000"/>
                <w:sz w:val="16"/>
              </w:rPr>
              <w:t>(10)</w:t>
            </w:r>
          </w:p>
        </w:tc>
        <w:tc>
          <w:tcPr>
            <w:tcW w:w="9900" w:type="dxa"/>
            <w:tcBorders/>
            <w:vAlign w:val="center"/>
          </w:tcPr>
          <w:p>
            <w:pPr>
              <w:pStyle w:val="TableContents"/>
              <w:bidi w:val="0"/>
              <w:spacing w:before="0" w:after="0"/>
              <w:jc w:val="both"/>
              <w:rPr>
                <w:rFonts w:ascii="Times New Roman;Times;serif" w:hAnsi="Times New Roman;Times;serif"/>
                <w:color w:val="000000"/>
                <w:sz w:val="16"/>
              </w:rPr>
            </w:pPr>
            <w:r>
              <w:rPr>
                <w:rFonts w:ascii="Times New Roman;Times;serif" w:hAnsi="Times New Roman;Times;serif"/>
                <w:color w:val="000000"/>
                <w:sz w:val="16"/>
              </w:rPr>
              <w:t xml:space="preserve">Includes an aggregate of 302,038 shares held by Synaptics' current executive officers and directors as a group. Excludes shares held by Mr. Rizvi, who is not a current executive officer. </w:t>
            </w:r>
          </w:p>
        </w:tc>
      </w:tr>
    </w:tbl>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198" w:name="ny20081083x2_defm14a_124-experts_pg1"/>
        <w:bookmarkEnd w:id="19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199" w:name="tFSS"/>
      <w:bookmarkEnd w:id="199"/>
      <w:r>
        <w:rPr>
          <w:rFonts w:ascii="Times New Roman;Times;serif" w:hAnsi="Times New Roman;Times;serif"/>
          <w:b/>
          <w:color w:val="000000"/>
          <w:sz w:val="20"/>
        </w:rPr>
        <w:t xml:space="preserve">FUTURE SYNAPTICS STOCKHOLDER PROPOSALS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the Merger Proposal is approved by the requisite vote of Synaptics’ stockholders and the Merger is completed, Synaptics will become a wholly-owned subsidiary of onsemi and, consequently, will not hold subsequent annual meetings of its stockholders. onsemi and Synaptics currently expect to complete the Merger as soon as practicable after the satisfaction or waiver of all applicable closing conditions.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Synaptics will hold its 2026 annual meeting of its stockholders on October 27, 2026. Synaptics’ proxy statement for the 2025 annual meeting of Synaptics stockholders contained information regarding presentation of stockholder proposals under Rule 14a-8 or other business or nominations at a 2026 annual meeting of Synaptics stockholders.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Merger is expected to close by mid-2027, subject to approval by Synaptics stockholders, the receipt of required regulatory approvals and other customary closing conditions. If the Merger Proposal is approved at the Special Meeting and the Merger is completed prior to the 2027 annual meeting of Synaptics stockholders, there will be no future annual meetings of Synaptics stockholders after the 2026 annual meeting. If the Merger is not completed before the 2027 annual meeting is held, stockholder proposals will be eligible for consideration for inclusion in the proxy statement and form of proxy for the 2027 annual meeting in accordance with Rule 14a-8 under the Exchange Act and the Synaptics bylaws, as described below.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Any Synaptics stockholder who wishes to submit a proposal for action at the 2027 annual meeting of Synaptics stockholders and wishes to have the proposal (“Rule 14a-8 Proposal”) included in Synaptics’ proxy materials must follow the procedures set forth in Rule 14a-8 under the Exchange Act and must submit the Rule 14a-8 Proposal in writing to Synaptics’ Secretary at its principal executive offices no later than May 18, 2027, in addition to complying with certain rules and regulations promulgated by the SEC. Only those Rule 14a-8 Proposals that are timely received by Synaptics and proper for stockholder action (and otherwise proper) will be included in Synaptics’ proxy materials. </w:t>
      </w:r>
    </w:p>
    <w:p>
      <w:pPr>
        <w:pStyle w:val="TextBody"/>
        <w:bidi w:val="0"/>
        <w:spacing w:lineRule="auto" w:line="240"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Alternatively, in accordance with the advance notice provisions of the Synaptics bylaws, any stockholder who wishes to present a stockholder proposal or nomination at the 2027 annual meeting of Synaptics stockholders, without having it included in Synaptics’ proxy materials, must timely submit notice of such proposal or nomination. To be timely, a stockholder’s notice must be received in writing by Synaptics’ Secretary at its principal executive offices not later than the close of business on the 90th day, nor earlier than the close of business on the 120th day, before the first anniversary of the 2026 annual meeting of Synaptics stockholders, unless the date of the 2027 annual meeting of Synaptics stockholders is advanced by more than 30 days or delayed by more than 70 days from the anniversary of the 2026 annual meeting of Synaptics stockholders. For the 2027 annual meeting of Synaptics stockholders, this means that any such proposal or nomination must be submitted no earlier than June 29, 2027, and no later than July 29, 2027. If the date of the 2027 annual meeting of Synaptics stockholders is advanced by more than 30 days or delayed by more than 70 days from the anniversary of the 2026 annual meeting of Synaptics stockholders, the stockholder must submit any such proposal or nomination no earlier than the close of business on the 120th day prior to the 2027 annual meeting of Synaptics stockholders and not later than the close of business on the later of the 90th day prior to the 2027 annual meeting of Synaptics stockholders or the 10th day following the day on which public announcement of the date of the 2027 annual meeting of Synaptics stockholders is first made by Synaptics.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addition to satisfying the deadlines in the advance notice provisions of the Synaptics bylaws, to comply with the universal proxy rules, a Synaptics stockholder who intends to solicit proxies in support of nominees submitted under these advance notice provisions must include in their notice the information required by Rule 14a-19 under the Exchange Act.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Notice of any proposals or nominations for the 2027 annual meeting of Synaptics stockholders should be sent to Synaptics at 1109 McKay Drive, San Jose, California 95131, Attn: Corporate Secretary. </w:t>
      </w:r>
    </w:p>
    <w:p>
      <w:pPr>
        <w:pStyle w:val="TextBody"/>
        <w:bidi w:val="0"/>
        <w:spacing w:before="240" w:after="283"/>
        <w:jc w:val="center"/>
        <w:rPr>
          <w:rFonts w:ascii="Times New Roman;Times;serif" w:hAnsi="Times New Roman;Times;serif"/>
          <w:b/>
          <w:color w:val="000000"/>
          <w:sz w:val="20"/>
        </w:rPr>
      </w:pPr>
      <w:bookmarkStart w:id="200" w:name="tHOU"/>
      <w:bookmarkEnd w:id="200"/>
      <w:r>
        <w:rPr>
          <w:rFonts w:ascii="Times New Roman;Times;serif" w:hAnsi="Times New Roman;Times;serif"/>
          <w:b/>
          <w:color w:val="000000"/>
          <w:sz w:val="20"/>
        </w:rPr>
        <w:t xml:space="preserve">HOUSEHOLDING OF PROXY MATERIALS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has adopted rules that permit companies and intermediaries (e.g., brokers) to satisfy the delivery requirements for Special Meeting materials with respect to two or more stockholders sharing the same address by delivering a single set of Special Meeting materials addressed to those stockholders. This process, which is commonly referred to as “householding,” potentially means extra convenience for stockholders and cost savings for companies.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For the Special Meeting, only one copy of this proxy statement is being delivered to Synaptics stockholders of record residing at the same address and who did not receive a copy of this proxy statement or otherwise receive their Special Meeting materials electronically, unless such Synaptics stockholders have notified Synaptics of their desire to receive multiple copies of the Special Meeting materials. If, at any time, you no longer wish to participate in “householding” and would prefer to receive a separate set of Special Meeting materials, please notify your broker or Synaptics. Direct your written request to 1109 McKay Drive, San Jose, California 95131, Attn: Corporate Secretary, or call (408) 904-1100.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1" w:name="ny20081083x2_defm14a_124-experts_pg2"/>
        <w:bookmarkEnd w:id="20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bookmarkStart w:id="202" w:name="tWYC"/>
      <w:bookmarkEnd w:id="202"/>
      <w:r>
        <w:rPr>
          <w:rFonts w:ascii="Times New Roman;Times;serif" w:hAnsi="Times New Roman;Times;serif"/>
          <w:b/>
          <w:color w:val="000000"/>
          <w:sz w:val="20"/>
        </w:rPr>
        <w:t xml:space="preserve">WHERE YOU CAN FIND MORE INFORMATION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files annual, quarterly and special reports, proxy statements and other information with the SEC. The SEC maintains a website that has reports, proxy and information statements and other information about Synaptics. The address of that site is https://www.sec.gov. The reports and other information filed by Synaptics with the SEC are also available at its website, which is https://investor.synaptics.com/. Information on Synaptics’ website does not constitute a part of this proxy statement, and is not incorporated by reference herein.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Statements contained or incorporated by reference in this proxy statement regarding the contents of any contract or other document are not necessarily complete, and each such statement is qualified in its entirety by reference to the full text of that contract or other document filed as an exhibit with the SEC.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The SEC allows Synaptics to “incorporate by reference” information into this proxy statement. This means that important information can be disclosed to you by referring you to another document filed separately with the SEC. The information incorporated by reference is deemed to be part of this proxy statement, except for any information superseded by information in this proxy statement or in later filed documents incorporated by reference into this proxy statement. This proxy statement incorporates by reference the documents set forth below that Synaptics has previously filed with the SEC, any additional documents that Synaptics may file with the SEC under Section 13(a), 13(c), 14 or 15(d) of the Exchange Act after the date of this proxy statement until the date on which the Special Meeting is held (other than, in each case, those documents, or the portions of those documents or exhibits thereto, deemed to be furnished and not filed in accordance with SEC rules). These documents contain important information about Synaptics’ business and financial performance. </w:t>
      </w:r>
    </w:p>
    <w:p>
      <w:pPr>
        <w:pStyle w:val="TextBody"/>
        <w:bidi w:val="0"/>
        <w:spacing w:before="170" w:after="283"/>
        <w:ind w:left="0" w:right="0" w:firstLine="400"/>
        <w:jc w:val="left"/>
        <w:rPr>
          <w:rFonts w:ascii="Times New Roman;Times;serif" w:hAnsi="Times New Roman;Times;serif"/>
          <w:color w:val="000000"/>
          <w:sz w:val="20"/>
        </w:rPr>
      </w:pPr>
      <w:r>
        <w:rPr>
          <w:rFonts w:ascii="Times New Roman;Times;serif" w:hAnsi="Times New Roman;Times;serif"/>
          <w:color w:val="000000"/>
          <w:sz w:val="20"/>
        </w:rPr>
        <w:t xml:space="preserve">This proxy statement incorporates by reference the documents set forth below previously filed with the SEC: </w:t>
      </w:r>
    </w:p>
    <w:tbl>
      <w:tblPr>
        <w:tblW w:w="8725" w:type="dxa"/>
        <w:jc w:val="left"/>
        <w:tblInd w:w="0" w:type="dxa"/>
        <w:tblLayout w:type="fixed"/>
        <w:tblCellMar>
          <w:top w:w="0" w:type="dxa"/>
          <w:left w:w="0" w:type="dxa"/>
          <w:bottom w:w="0" w:type="dxa"/>
          <w:right w:w="0" w:type="dxa"/>
        </w:tblCellMar>
      </w:tblPr>
      <w:tblGrid>
        <w:gridCol w:w="110"/>
        <w:gridCol w:w="8615"/>
      </w:tblGrid>
      <w:tr>
        <w:trPr/>
        <w:tc>
          <w:tcPr>
            <w:tcW w:w="110" w:type="dxa"/>
            <w:tcBorders/>
            <w:vAlign w:val="center"/>
          </w:tcPr>
          <w:p>
            <w:pPr>
              <w:pStyle w:val="TableContents"/>
              <w:bidi w:val="0"/>
              <w:spacing w:before="0" w:after="0"/>
              <w:jc w:val="left"/>
              <w:rPr>
                <w:color w:val="000000"/>
              </w:rPr>
            </w:pPr>
            <w:r>
              <w:rPr>
                <w:color w:val="000000"/>
              </w:rPr>
              <w:t>•</w:t>
            </w:r>
          </w:p>
        </w:tc>
        <w:tc>
          <w:tcPr>
            <w:tcW w:w="8615" w:type="dxa"/>
            <w:tcBorders/>
            <w:vAlign w:val="center"/>
          </w:tcPr>
          <w:p>
            <w:pPr>
              <w:pStyle w:val="TableContents"/>
              <w:bidi w:val="0"/>
              <w:spacing w:before="0" w:after="0"/>
              <w:jc w:val="left"/>
              <w:rPr/>
            </w:pPr>
            <w:r>
              <w:rPr>
                <w:rFonts w:ascii="Times New Roman;Times;serif" w:hAnsi="Times New Roman;Times;serif"/>
                <w:color w:val="000000"/>
                <w:sz w:val="20"/>
              </w:rPr>
              <w:t xml:space="preserve">Synaptics’ Annual Report on Form 10-K for the fiscal year ended June 27, 2026, filed on </w:t>
            </w:r>
            <w:hyperlink r:id="rId8">
              <w:r>
                <w:rPr>
                  <w:rStyle w:val="InternetLink"/>
                  <w:rFonts w:ascii="Times New Roman;Times;serif" w:hAnsi="Times New Roman;Times;serif"/>
                  <w:color w:val="000080"/>
                  <w:sz w:val="20"/>
                </w:rPr>
                <w:t>August 10, 2026</w:t>
              </w:r>
            </w:hyperlink>
            <w:r>
              <w:rPr>
                <w:rFonts w:ascii="Times New Roman;Times;serif" w:hAnsi="Times New Roman;Times;serif"/>
                <w:color w:val="000000"/>
                <w:sz w:val="20"/>
              </w:rPr>
              <w:t>.</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Definitive Proxy Statement on Schedule 14A for Synaptics’ 2026 annual stockholder meeting, filed on </w:t>
            </w:r>
            <w:hyperlink r:id="rId9">
              <w:r>
                <w:rPr>
                  <w:rStyle w:val="InternetLink"/>
                  <w:rFonts w:ascii="Times New Roman;Times;serif" w:hAnsi="Times New Roman;Times;serif"/>
                  <w:color w:val="000080"/>
                  <w:sz w:val="20"/>
                </w:rPr>
                <w:t>September 15, 2026</w:t>
              </w:r>
            </w:hyperlink>
            <w:r>
              <w:rPr>
                <w:rFonts w:ascii="Times New Roman;Times;serif" w:hAnsi="Times New Roman;Times;serif"/>
                <w:color w:val="000000"/>
                <w:sz w:val="20"/>
              </w:rPr>
              <w:t xml:space="preserve"> (but only with respect to information required by Part III of Synaptics’ Annual Report on Form 10-K for the fiscal year ended June 27, 2026). </w:t>
            </w:r>
          </w:p>
        </w:tc>
      </w:tr>
    </w:tbl>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jc w:val="left"/>
              <w:rPr>
                <w:color w:val="000000"/>
              </w:rPr>
            </w:pPr>
            <w:r>
              <w:rPr>
                <w:color w:val="000000"/>
              </w:rPr>
              <w:t>•</w:t>
            </w:r>
          </w:p>
        </w:tc>
        <w:tc>
          <w:tcPr>
            <w:tcW w:w="10095" w:type="dxa"/>
            <w:tcBorders/>
            <w:vAlign w:val="center"/>
          </w:tcPr>
          <w:p>
            <w:pPr>
              <w:pStyle w:val="TableContents"/>
              <w:bidi w:val="0"/>
              <w:spacing w:before="0" w:after="0"/>
              <w:jc w:val="both"/>
              <w:rPr/>
            </w:pPr>
            <w:r>
              <w:rPr>
                <w:rFonts w:ascii="Times New Roman;Times;serif" w:hAnsi="Times New Roman;Times;serif"/>
                <w:color w:val="000000"/>
                <w:sz w:val="20"/>
              </w:rPr>
              <w:t xml:space="preserve">Synaptics’ Current Reports on Form 8-K filed on </w:t>
            </w:r>
            <w:hyperlink r:id="rId10">
              <w:r>
                <w:rPr>
                  <w:rStyle w:val="InternetLink"/>
                  <w:rFonts w:ascii="Times New Roman;Times;serif" w:hAnsi="Times New Roman;Times;serif"/>
                  <w:color w:val="000080"/>
                  <w:sz w:val="20"/>
                </w:rPr>
                <w:t>August 21, 2026</w:t>
              </w:r>
            </w:hyperlink>
            <w:r>
              <w:rPr>
                <w:rFonts w:ascii="Times New Roman;Times;serif" w:hAnsi="Times New Roman;Times;serif"/>
                <w:color w:val="000000"/>
                <w:sz w:val="20"/>
              </w:rPr>
              <w:t xml:space="preserve">, </w:t>
            </w:r>
            <w:hyperlink r:id="rId11">
              <w:r>
                <w:rPr>
                  <w:rStyle w:val="InternetLink"/>
                  <w:rFonts w:ascii="Times New Roman;Times;serif" w:hAnsi="Times New Roman;Times;serif"/>
                  <w:color w:val="000080"/>
                  <w:sz w:val="20"/>
                </w:rPr>
                <w:t>October 1, 2026</w:t>
              </w:r>
            </w:hyperlink>
            <w:r>
              <w:rPr>
                <w:rFonts w:ascii="Times New Roman;Times;serif" w:hAnsi="Times New Roman;Times;serif"/>
                <w:color w:val="000000"/>
                <w:sz w:val="20"/>
              </w:rPr>
              <w:t xml:space="preserve"> and </w:t>
            </w:r>
            <w:hyperlink r:id="rId12">
              <w:r>
                <w:rPr>
                  <w:rStyle w:val="InternetLink"/>
                  <w:rFonts w:ascii="Times New Roman;Times;serif" w:hAnsi="Times New Roman;Times;serif"/>
                  <w:color w:val="000080"/>
                  <w:sz w:val="20"/>
                </w:rPr>
                <w:t>October 15, 2026</w:t>
              </w:r>
            </w:hyperlink>
            <w:r>
              <w:rPr>
                <w:rFonts w:ascii="Times New Roman;Times;serif" w:hAnsi="Times New Roman;Times;serif"/>
                <w:color w:val="000000"/>
                <w:sz w:val="20"/>
              </w:rPr>
              <w:t xml:space="preserve"> (other than the portions of such documents not deemed to be filed). </w:t>
            </w:r>
          </w:p>
        </w:tc>
      </w:tr>
    </w:tbl>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Documents incorporated by reference are available from Synaptics without charge, excluding any exhibits to those documents, unless the exhibit is specifically incorporated by reference into this proxy statement. You may obtain these documents incorporated by reference by requesting them in writing or by telephone from Synaptics’ principal executive office. The address and phone number of such principal executive office are listed below: </w:t>
      </w:r>
    </w:p>
    <w:p>
      <w:pPr>
        <w:pStyle w:val="TextBody"/>
        <w:bidi w:val="0"/>
        <w:spacing w:before="170" w:after="283"/>
        <w:jc w:val="center"/>
        <w:rPr>
          <w:rFonts w:ascii="Times New Roman;Times;serif" w:hAnsi="Times New Roman;Times;serif"/>
          <w:b/>
          <w:color w:val="000000"/>
          <w:sz w:val="20"/>
        </w:rPr>
      </w:pPr>
      <w:r>
        <w:rPr>
          <w:rFonts w:ascii="Times New Roman;Times;serif" w:hAnsi="Times New Roman;Times;serif"/>
          <w:b/>
          <w:color w:val="000000"/>
          <w:sz w:val="20"/>
        </w:rPr>
        <w:t>Synaptics Incorporated</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1109 McKay Drive</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San Jose, California 95131</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Attention: Corporate Secretary</w:t>
      </w:r>
    </w:p>
    <w:p>
      <w:pPr>
        <w:pStyle w:val="TextBody"/>
        <w:bidi w:val="0"/>
        <w:spacing w:before="0" w:after="283"/>
        <w:jc w:val="center"/>
        <w:rPr>
          <w:rFonts w:ascii="Times New Roman;Times;serif" w:hAnsi="Times New Roman;Times;serif"/>
          <w:b w:val="false"/>
          <w:color w:val="000000"/>
          <w:sz w:val="20"/>
        </w:rPr>
      </w:pPr>
      <w:r>
        <w:rPr>
          <w:rFonts w:ascii="Times New Roman;Times;serif" w:hAnsi="Times New Roman;Times;serif"/>
          <w:b w:val="false"/>
          <w:color w:val="000000"/>
          <w:sz w:val="20"/>
        </w:rPr>
        <w:t>(408) 904-1100</w:t>
      </w:r>
    </w:p>
    <w:p>
      <w:pPr>
        <w:pStyle w:val="TextBody"/>
        <w:bidi w:val="0"/>
        <w:spacing w:before="120" w:after="283"/>
        <w:ind w:left="0" w:right="0" w:firstLine="400"/>
        <w:jc w:val="both"/>
        <w:rPr>
          <w:rFonts w:ascii="Times New Roman;Times;serif" w:hAnsi="Times New Roman;Times;serif"/>
          <w:b/>
          <w:color w:val="000000"/>
          <w:sz w:val="20"/>
        </w:rPr>
      </w:pPr>
      <w:r>
        <w:rPr>
          <w:rFonts w:ascii="Times New Roman;Times;serif" w:hAnsi="Times New Roman;Times;serif"/>
          <w:b/>
          <w:color w:val="000000"/>
          <w:sz w:val="20"/>
        </w:rPr>
        <w:t xml:space="preserve">To obtain timely delivery of the documents, you must request them no later than five business days before the date of the Special Meeting. Therefore, if you would like to request documents from Synaptics, please do so by November 9, 2026 in order to receive them before the Special Meeting.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Synaptics has not authorized anyone to provide you with information that is different from what is contained in this proxy statement.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If you are in a jurisdiction in which solicitations of proxies are unlawful, or if you are a person to whom it is unlawful to direct such solicitations, then the solicitation presented in this proxy statement does not extend to you.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This proxy statement is dated October 19, 2026. You should not assume that the information in it is accurate as of any date other than that date, and its mailing to Synaptics stockholders will not create any implication to the contrary.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122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3" w:name="ny20081083x2_defm14a_300-annexa_pg1"/>
        <w:bookmarkEnd w:id="20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right"/>
        <w:rPr>
          <w:rFonts w:ascii="Times New Roman;Times;serif" w:hAnsi="Times New Roman;Times;serif"/>
          <w:b/>
          <w:color w:val="000000"/>
          <w:sz w:val="18"/>
        </w:rPr>
      </w:pPr>
      <w:bookmarkStart w:id="204" w:name="tANNA"/>
      <w:bookmarkEnd w:id="204"/>
      <w:r>
        <w:rPr>
          <w:rFonts w:ascii="Times New Roman;Times;serif" w:hAnsi="Times New Roman;Times;serif"/>
          <w:b/>
          <w:color w:val="000000"/>
          <w:sz w:val="18"/>
        </w:rPr>
        <w:t xml:space="preserve">Annex A </w:t>
      </w:r>
    </w:p>
    <w:p>
      <w:pPr>
        <w:pStyle w:val="TextBody"/>
        <w:bidi w:val="0"/>
        <w:spacing w:before="39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AMENDED AND RESTATED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AND PLAN OF MERGER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by and among: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SONIC ACQUISITION CORP.,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and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SYNAPTICS INCORPORATED,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 Delaware corporation; </w:t>
      </w:r>
    </w:p>
    <w:p>
      <w:pPr>
        <w:pStyle w:val="TextBody"/>
        <w:bidi w:val="0"/>
        <w:spacing w:before="0" w:after="283"/>
        <w:jc w:val="center"/>
        <w:rPr>
          <w:color w:val="000000"/>
        </w:rPr>
      </w:pPr>
      <w:r>
        <w:rPr>
          <w:color w:val="000000"/>
        </w:rPr>
        <w:t>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Dated as of October 1, 2026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5" w:name="ny20081083x2_defm14a_300-annexa_pg2"/>
        <w:bookmarkEnd w:id="205"/>
        <w:r>
          <w:rPr>
            <w:rStyle w:val="InternetLink"/>
            <w:rFonts w:ascii="Times New Roman;Times;Serif" w:hAnsi="Times New Roman;Times;Serif"/>
            <w:b/>
            <w:caps w:val="false"/>
            <w:smallCaps w:val="false"/>
            <w:color w:val="000000"/>
            <w:sz w:val="16"/>
          </w:rPr>
          <w:t>TABLE OF CONTENTS</w:t>
        </w:r>
      </w:hyperlink>
    </w:p>
    <w:tbl>
      <w:tblPr>
        <w:tblW w:w="851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6680"/>
        <w:gridCol w:w="140"/>
        <w:gridCol w:w="140"/>
        <w:gridCol w:w="45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1">
              <w:r>
                <w:rPr>
                  <w:rStyle w:val="InternetLink"/>
                  <w:rFonts w:ascii="Times New Roman;Times;serif" w:hAnsi="Times New Roman;Times;serif"/>
                  <w:b/>
                  <w:color w:val="000000"/>
                  <w:sz w:val="18"/>
                </w:rPr>
                <w:t>ARTICLE I.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1">
              <w:r>
                <w:rPr>
                  <w:rStyle w:val="InternetLink"/>
                  <w:rFonts w:ascii="Times New Roman;Times;serif" w:hAnsi="Times New Roman;Times;serif"/>
                  <w:color w:val="000000"/>
                  <w:sz w:val="18"/>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1">
              <w:r>
                <w:rPr>
                  <w:rStyle w:val="InternetLink"/>
                  <w:rFonts w:ascii="Times New Roman;Times;serif" w:hAnsi="Times New Roman;Times;serif"/>
                  <w:color w:val="000000"/>
                  <w:sz w:val="18"/>
                </w:rPr>
                <w:t xml:space="preserve">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1">
              <w:r>
                <w:rPr>
                  <w:rStyle w:val="InternetLink"/>
                  <w:rFonts w:ascii="Times New Roman;Times;serif" w:hAnsi="Times New Roman;Times;serif"/>
                  <w:color w:val="000000"/>
                  <w:sz w:val="18"/>
                </w:rPr>
                <w:t>The Merger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1">
              <w:r>
                <w:rPr>
                  <w:rStyle w:val="InternetLink"/>
                  <w:rFonts w:ascii="Times New Roman;Times;serif" w:hAnsi="Times New Roman;Times;serif"/>
                  <w:color w:val="000000"/>
                  <w:sz w:val="18"/>
                </w:rPr>
                <w:t>A-1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2">
              <w:r>
                <w:rPr>
                  <w:rStyle w:val="InternetLink"/>
                  <w:rFonts w:ascii="Times New Roman;Times;serif" w:hAnsi="Times New Roman;Times;serif"/>
                  <w:color w:val="000000"/>
                  <w:sz w:val="18"/>
                </w:rPr>
                <w:t xml:space="preserve">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2">
              <w:r>
                <w:rPr>
                  <w:rStyle w:val="InternetLink"/>
                  <w:rFonts w:ascii="Times New Roman;Times;serif" w:hAnsi="Times New Roman;Times;serif"/>
                  <w:color w:val="000000"/>
                  <w:sz w:val="18"/>
                </w:rPr>
                <w:t>Closing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2">
              <w:r>
                <w:rPr>
                  <w:rStyle w:val="InternetLink"/>
                  <w:rFonts w:ascii="Times New Roman;Times;serif" w:hAnsi="Times New Roman;Times;serif"/>
                  <w:color w:val="000000"/>
                  <w:sz w:val="18"/>
                </w:rPr>
                <w:t>A-1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3">
              <w:r>
                <w:rPr>
                  <w:rStyle w:val="InternetLink"/>
                  <w:rFonts w:ascii="Times New Roman;Times;serif" w:hAnsi="Times New Roman;Times;serif"/>
                  <w:color w:val="000000"/>
                  <w:sz w:val="18"/>
                </w:rPr>
                <w:t xml:space="preserve">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3">
              <w:r>
                <w:rPr>
                  <w:rStyle w:val="InternetLink"/>
                  <w:rFonts w:ascii="Times New Roman;Times;serif" w:hAnsi="Times New Roman;Times;serif"/>
                  <w:color w:val="000000"/>
                  <w:sz w:val="18"/>
                </w:rPr>
                <w:t>Certificate of Incorporation and Bylaws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3">
              <w:r>
                <w:rPr>
                  <w:rStyle w:val="InternetLink"/>
                  <w:rFonts w:ascii="Times New Roman;Times;serif" w:hAnsi="Times New Roman;Times;serif"/>
                  <w:color w:val="000000"/>
                  <w:sz w:val="18"/>
                </w:rPr>
                <w:t>A-1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4">
              <w:r>
                <w:rPr>
                  <w:rStyle w:val="InternetLink"/>
                  <w:rFonts w:ascii="Times New Roman;Times;serif" w:hAnsi="Times New Roman;Times;serif"/>
                  <w:color w:val="000000"/>
                  <w:sz w:val="18"/>
                </w:rPr>
                <w:t xml:space="preserve">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4">
              <w:r>
                <w:rPr>
                  <w:rStyle w:val="InternetLink"/>
                  <w:rFonts w:ascii="Times New Roman;Times;serif" w:hAnsi="Times New Roman;Times;serif"/>
                  <w:color w:val="000000"/>
                  <w:sz w:val="18"/>
                </w:rPr>
                <w:t>Directors and Officers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4">
              <w:r>
                <w:rPr>
                  <w:rStyle w:val="InternetLink"/>
                  <w:rFonts w:ascii="Times New Roman;Times;serif" w:hAnsi="Times New Roman;Times;serif"/>
                  <w:color w:val="000000"/>
                  <w:sz w:val="18"/>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5">
              <w:r>
                <w:rPr>
                  <w:rStyle w:val="InternetLink"/>
                  <w:rFonts w:ascii="Times New Roman;Times;serif" w:hAnsi="Times New Roman;Times;serif"/>
                  <w:color w:val="000000"/>
                  <w:sz w:val="18"/>
                </w:rPr>
                <w:t xml:space="preserve">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5">
              <w:r>
                <w:rPr>
                  <w:rStyle w:val="InternetLink"/>
                  <w:rFonts w:ascii="Times New Roman;Times;serif" w:hAnsi="Times New Roman;Times;serif"/>
                  <w:color w:val="000000"/>
                  <w:sz w:val="18"/>
                </w:rPr>
                <w:t>Effect on Company Capital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5">
              <w:r>
                <w:rPr>
                  <w:rStyle w:val="InternetLink"/>
                  <w:rFonts w:ascii="Times New Roman;Times;serif" w:hAnsi="Times New Roman;Times;serif"/>
                  <w:color w:val="000000"/>
                  <w:sz w:val="18"/>
                </w:rPr>
                <w:t>A-2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6">
              <w:r>
                <w:rPr>
                  <w:rStyle w:val="InternetLink"/>
                  <w:rFonts w:ascii="Times New Roman;Times;serif" w:hAnsi="Times New Roman;Times;serif"/>
                  <w:color w:val="000000"/>
                  <w:sz w:val="18"/>
                </w:rPr>
                <w:t xml:space="preserve">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6">
              <w:r>
                <w:rPr>
                  <w:rStyle w:val="InternetLink"/>
                  <w:rFonts w:ascii="Times New Roman;Times;serif" w:hAnsi="Times New Roman;Times;serif"/>
                  <w:color w:val="000000"/>
                  <w:sz w:val="18"/>
                </w:rPr>
                <w:t>Treatment of Company Equity Awards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6">
              <w:r>
                <w:rPr>
                  <w:rStyle w:val="InternetLink"/>
                  <w:rFonts w:ascii="Times New Roman;Times;serif" w:hAnsi="Times New Roman;Times;serif"/>
                  <w:color w:val="000000"/>
                  <w:sz w:val="18"/>
                </w:rPr>
                <w:t>A-2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7">
              <w:r>
                <w:rPr>
                  <w:rStyle w:val="InternetLink"/>
                  <w:rFonts w:ascii="Times New Roman;Times;serif" w:hAnsi="Times New Roman;Times;serif"/>
                  <w:color w:val="000000"/>
                  <w:sz w:val="18"/>
                </w:rPr>
                <w:t xml:space="preserve">1.7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7">
              <w:r>
                <w:rPr>
                  <w:rStyle w:val="InternetLink"/>
                  <w:rFonts w:ascii="Times New Roman;Times;serif" w:hAnsi="Times New Roman;Times;serif"/>
                  <w:color w:val="000000"/>
                  <w:sz w:val="18"/>
                </w:rPr>
                <w:t>Exchange of Certificates and Cancellation of Book-Entry Positions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7">
              <w:r>
                <w:rPr>
                  <w:rStyle w:val="InternetLink"/>
                  <w:rFonts w:ascii="Times New Roman;Times;serif" w:hAnsi="Times New Roman;Times;serif"/>
                  <w:color w:val="000000"/>
                  <w:sz w:val="18"/>
                </w:rPr>
                <w:t>A-4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8">
              <w:r>
                <w:rPr>
                  <w:rStyle w:val="InternetLink"/>
                  <w:rFonts w:ascii="Times New Roman;Times;serif" w:hAnsi="Times New Roman;Times;serif"/>
                  <w:color w:val="000000"/>
                  <w:sz w:val="18"/>
                </w:rPr>
                <w:t xml:space="preserve">1.8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8">
              <w:r>
                <w:rPr>
                  <w:rStyle w:val="InternetLink"/>
                  <w:rFonts w:ascii="Times New Roman;Times;serif" w:hAnsi="Times New Roman;Times;serif"/>
                  <w:color w:val="000000"/>
                  <w:sz w:val="18"/>
                </w:rPr>
                <w:t>Further Action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8">
              <w:r>
                <w:rPr>
                  <w:rStyle w:val="InternetLink"/>
                  <w:rFonts w:ascii="Times New Roman;Times;serif" w:hAnsi="Times New Roman;Times;serif"/>
                  <w:color w:val="000000"/>
                  <w:sz w:val="18"/>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19">
              <w:r>
                <w:rPr>
                  <w:rStyle w:val="InternetLink"/>
                  <w:rFonts w:ascii="Times New Roman;Times;serif" w:hAnsi="Times New Roman;Times;serif"/>
                  <w:color w:val="000000"/>
                  <w:sz w:val="18"/>
                </w:rPr>
                <w:t xml:space="preserve">1.9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19">
              <w:r>
                <w:rPr>
                  <w:rStyle w:val="InternetLink"/>
                  <w:rFonts w:ascii="Times New Roman;Times;serif" w:hAnsi="Times New Roman;Times;serif"/>
                  <w:color w:val="000000"/>
                  <w:sz w:val="18"/>
                </w:rPr>
                <w:t>Tax Withholding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19">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110">
              <w:r>
                <w:rPr>
                  <w:rStyle w:val="InternetLink"/>
                  <w:rFonts w:ascii="Times New Roman;Times;serif" w:hAnsi="Times New Roman;Times;serif"/>
                  <w:color w:val="000000"/>
                  <w:sz w:val="18"/>
                </w:rPr>
                <w:t xml:space="preserve">1.10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110">
              <w:r>
                <w:rPr>
                  <w:rStyle w:val="InternetLink"/>
                  <w:rFonts w:ascii="Times New Roman;Times;serif" w:hAnsi="Times New Roman;Times;serif"/>
                  <w:color w:val="000000"/>
                  <w:sz w:val="18"/>
                </w:rPr>
                <w:t>Dissenting Shares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110">
              <w:r>
                <w:rPr>
                  <w:rStyle w:val="InternetLink"/>
                  <w:rFonts w:ascii="Times New Roman;Times;serif" w:hAnsi="Times New Roman;Times;serif"/>
                  <w:color w:val="000000"/>
                  <w:sz w:val="18"/>
                </w:rPr>
                <w:t>A-6</w:t>
              </w:r>
            </w:hyperlink>
          </w:p>
        </w:tc>
      </w:tr>
      <w:tr>
        <w:trPr/>
        <w:tc>
          <w:tcPr>
            <w:tcW w:w="7775" w:type="dxa"/>
            <w:gridSpan w:val="7"/>
            <w:tcBorders/>
            <w:vAlign w:val="center"/>
          </w:tcPr>
          <w:p>
            <w:pPr>
              <w:pStyle w:val="TableContents"/>
              <w:bidi w:val="0"/>
              <w:spacing w:before="0" w:after="283"/>
              <w:ind w:left="0" w:right="0" w:hanging="0"/>
              <w:jc w:val="left"/>
              <w:rPr/>
            </w:pPr>
            <w:hyperlink w:anchor="tANNXA2">
              <w:r>
                <w:rPr>
                  <w:rStyle w:val="InternetLink"/>
                  <w:rFonts w:ascii="Times New Roman;Times;serif" w:hAnsi="Times New Roman;Times;serif"/>
                  <w:b/>
                  <w:color w:val="000000"/>
                  <w:sz w:val="18"/>
                </w:rPr>
                <w:t>ARTICLE II. REPRESENTATIONS AND WARRANTIES OF THE COMPANY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A2">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
              <w:r>
                <w:rPr>
                  <w:rStyle w:val="InternetLink"/>
                  <w:rFonts w:ascii="Times New Roman;Times;serif" w:hAnsi="Times New Roman;Times;serif"/>
                  <w:color w:val="000000"/>
                  <w:sz w:val="18"/>
                </w:rPr>
                <w:t xml:space="preserve">2.1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
              <w:r>
                <w:rPr>
                  <w:rStyle w:val="InternetLink"/>
                  <w:rFonts w:ascii="Times New Roman;Times;serif" w:hAnsi="Times New Roman;Times;serif"/>
                  <w:color w:val="000000"/>
                  <w:sz w:val="18"/>
                </w:rPr>
                <w:t>Due Organization and Good Standing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
              <w:r>
                <w:rPr>
                  <w:rStyle w:val="InternetLink"/>
                  <w:rFonts w:ascii="Times New Roman;Times;serif" w:hAnsi="Times New Roman;Times;serif"/>
                  <w:color w:val="000000"/>
                  <w:sz w:val="18"/>
                </w:rPr>
                <w:t>A-6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
              <w:r>
                <w:rPr>
                  <w:rStyle w:val="InternetLink"/>
                  <w:rFonts w:ascii="Times New Roman;Times;serif" w:hAnsi="Times New Roman;Times;serif"/>
                  <w:color w:val="000000"/>
                  <w:sz w:val="18"/>
                </w:rPr>
                <w:t>2.2</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
              <w:r>
                <w:rPr>
                  <w:rStyle w:val="InternetLink"/>
                  <w:rFonts w:ascii="Times New Roman;Times;serif" w:hAnsi="Times New Roman;Times;serif"/>
                  <w:color w:val="000000"/>
                  <w:sz w:val="18"/>
                </w:rPr>
                <w:t>Capitalization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
              <w:r>
                <w:rPr>
                  <w:rStyle w:val="InternetLink"/>
                  <w:rFonts w:ascii="Times New Roman;Times;serif" w:hAnsi="Times New Roman;Times;serif"/>
                  <w:color w:val="000000"/>
                  <w:sz w:val="18"/>
                </w:rPr>
                <w:t>A-6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3">
              <w:r>
                <w:rPr>
                  <w:rStyle w:val="InternetLink"/>
                  <w:rFonts w:ascii="Times New Roman;Times;serif" w:hAnsi="Times New Roman;Times;serif"/>
                  <w:color w:val="000000"/>
                  <w:sz w:val="18"/>
                </w:rPr>
                <w:t xml:space="preserve">2.3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3">
              <w:r>
                <w:rPr>
                  <w:rStyle w:val="InternetLink"/>
                  <w:rFonts w:ascii="Times New Roman;Times;serif" w:hAnsi="Times New Roman;Times;serif"/>
                  <w:color w:val="000000"/>
                  <w:sz w:val="18"/>
                </w:rPr>
                <w:t>Subsidiaries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3">
              <w:r>
                <w:rPr>
                  <w:rStyle w:val="InternetLink"/>
                  <w:rFonts w:ascii="Times New Roman;Times;serif" w:hAnsi="Times New Roman;Times;serif"/>
                  <w:color w:val="000000"/>
                  <w:sz w:val="18"/>
                </w:rPr>
                <w:t>A-7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4">
              <w:r>
                <w:rPr>
                  <w:rStyle w:val="InternetLink"/>
                  <w:rFonts w:ascii="Times New Roman;Times;serif" w:hAnsi="Times New Roman;Times;serif"/>
                  <w:color w:val="000000"/>
                  <w:sz w:val="18"/>
                </w:rPr>
                <w:t xml:space="preserve">2.4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4">
              <w:r>
                <w:rPr>
                  <w:rStyle w:val="InternetLink"/>
                  <w:rFonts w:ascii="Times New Roman;Times;serif" w:hAnsi="Times New Roman;Times;serif"/>
                  <w:color w:val="000000"/>
                  <w:sz w:val="18"/>
                </w:rPr>
                <w:t>Authority; Binding Nature of Agreement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4">
              <w:r>
                <w:rPr>
                  <w:rStyle w:val="InternetLink"/>
                  <w:rFonts w:ascii="Times New Roman;Times;serif" w:hAnsi="Times New Roman;Times;serif"/>
                  <w:color w:val="000000"/>
                  <w:sz w:val="18"/>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5">
              <w:r>
                <w:rPr>
                  <w:rStyle w:val="InternetLink"/>
                  <w:rFonts w:ascii="Times New Roman;Times;serif" w:hAnsi="Times New Roman;Times;serif"/>
                  <w:color w:val="000000"/>
                  <w:sz w:val="18"/>
                </w:rPr>
                <w:t xml:space="preserve">2.5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5">
              <w:r>
                <w:rPr>
                  <w:rStyle w:val="InternetLink"/>
                  <w:rFonts w:ascii="Times New Roman;Times;serif" w:hAnsi="Times New Roman;Times;serif"/>
                  <w:color w:val="000000"/>
                  <w:sz w:val="18"/>
                </w:rPr>
                <w:t>Vote Required</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5">
              <w:r>
                <w:rPr>
                  <w:rStyle w:val="InternetLink"/>
                  <w:rFonts w:ascii="Times New Roman;Times;serif" w:hAnsi="Times New Roman;Times;serif"/>
                  <w:color w:val="000000"/>
                  <w:sz w:val="18"/>
                </w:rPr>
                <w:t>A-8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6">
              <w:r>
                <w:rPr>
                  <w:rStyle w:val="InternetLink"/>
                  <w:rFonts w:ascii="Times New Roman;Times;serif" w:hAnsi="Times New Roman;Times;serif"/>
                  <w:color w:val="000000"/>
                  <w:sz w:val="18"/>
                </w:rPr>
                <w:t xml:space="preserve">2.6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6">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6">
              <w:r>
                <w:rPr>
                  <w:rStyle w:val="InternetLink"/>
                  <w:rFonts w:ascii="Times New Roman;Times;serif" w:hAnsi="Times New Roman;Times;serif"/>
                  <w:color w:val="000000"/>
                  <w:sz w:val="18"/>
                </w:rPr>
                <w:t>A-8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7">
              <w:r>
                <w:rPr>
                  <w:rStyle w:val="InternetLink"/>
                  <w:rFonts w:ascii="Times New Roman;Times;serif" w:hAnsi="Times New Roman;Times;serif"/>
                  <w:color w:val="000000"/>
                  <w:sz w:val="18"/>
                </w:rPr>
                <w:t xml:space="preserve">2.7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7">
              <w:r>
                <w:rPr>
                  <w:rStyle w:val="InternetLink"/>
                  <w:rFonts w:ascii="Times New Roman;Times;serif" w:hAnsi="Times New Roman;Times;serif"/>
                  <w:color w:val="000000"/>
                  <w:sz w:val="18"/>
                </w:rPr>
                <w:t>Reports; Financial Statements; Internal Controls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7">
              <w:r>
                <w:rPr>
                  <w:rStyle w:val="InternetLink"/>
                  <w:rFonts w:ascii="Times New Roman;Times;serif" w:hAnsi="Times New Roman;Times;serif"/>
                  <w:color w:val="000000"/>
                  <w:sz w:val="18"/>
                </w:rPr>
                <w:t>A-9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8">
              <w:r>
                <w:rPr>
                  <w:rStyle w:val="InternetLink"/>
                  <w:rFonts w:ascii="Times New Roman;Times;serif" w:hAnsi="Times New Roman;Times;serif"/>
                  <w:color w:val="000000"/>
                  <w:sz w:val="18"/>
                </w:rPr>
                <w:t xml:space="preserve">2.8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8">
              <w:r>
                <w:rPr>
                  <w:rStyle w:val="InternetLink"/>
                  <w:rFonts w:ascii="Times New Roman;Times;serif" w:hAnsi="Times New Roman;Times;serif"/>
                  <w:color w:val="000000"/>
                  <w:sz w:val="18"/>
                </w:rPr>
                <w:t>Absence of Certain Changes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8">
              <w:r>
                <w:rPr>
                  <w:rStyle w:val="InternetLink"/>
                  <w:rFonts w:ascii="Times New Roman;Times;serif" w:hAnsi="Times New Roman;Times;serif"/>
                  <w:color w:val="000000"/>
                  <w:sz w:val="18"/>
                </w:rPr>
                <w:t>A-10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9">
              <w:r>
                <w:rPr>
                  <w:rStyle w:val="InternetLink"/>
                  <w:rFonts w:ascii="Times New Roman;Times;serif" w:hAnsi="Times New Roman;Times;serif"/>
                  <w:color w:val="000000"/>
                  <w:sz w:val="18"/>
                </w:rPr>
                <w:t xml:space="preserve">2.9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9">
              <w:r>
                <w:rPr>
                  <w:rStyle w:val="InternetLink"/>
                  <w:rFonts w:ascii="Times New Roman;Times;serif" w:hAnsi="Times New Roman;Times;serif"/>
                  <w:color w:val="000000"/>
                  <w:sz w:val="18"/>
                </w:rPr>
                <w:t>Intellectual Property and Related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9">
              <w:r>
                <w:rPr>
                  <w:rStyle w:val="InternetLink"/>
                  <w:rFonts w:ascii="Times New Roman;Times;serif" w:hAnsi="Times New Roman;Times;serif"/>
                  <w:color w:val="000000"/>
                  <w:sz w:val="18"/>
                </w:rPr>
                <w:t>A-10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0">
              <w:r>
                <w:rPr>
                  <w:rStyle w:val="InternetLink"/>
                  <w:rFonts w:ascii="Times New Roman;Times;serif" w:hAnsi="Times New Roman;Times;serif"/>
                  <w:color w:val="000000"/>
                  <w:sz w:val="18"/>
                </w:rPr>
                <w:t xml:space="preserve">2.10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0">
              <w:r>
                <w:rPr>
                  <w:rStyle w:val="InternetLink"/>
                  <w:rFonts w:ascii="Times New Roman;Times;serif" w:hAnsi="Times New Roman;Times;serif"/>
                  <w:color w:val="000000"/>
                  <w:sz w:val="18"/>
                </w:rPr>
                <w:t>Title to Assets; Real Property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0">
              <w:r>
                <w:rPr>
                  <w:rStyle w:val="InternetLink"/>
                  <w:rFonts w:ascii="Times New Roman;Times;serif" w:hAnsi="Times New Roman;Times;serif"/>
                  <w:color w:val="000000"/>
                  <w:sz w:val="18"/>
                </w:rPr>
                <w:t>A-12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1">
              <w:r>
                <w:rPr>
                  <w:rStyle w:val="InternetLink"/>
                  <w:rFonts w:ascii="Times New Roman;Times;serif" w:hAnsi="Times New Roman;Times;serif"/>
                  <w:color w:val="000000"/>
                  <w:sz w:val="18"/>
                </w:rPr>
                <w:t xml:space="preserve">2.11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1">
              <w:r>
                <w:rPr>
                  <w:rStyle w:val="InternetLink"/>
                  <w:rFonts w:ascii="Times New Roman;Times;serif" w:hAnsi="Times New Roman;Times;serif"/>
                  <w:color w:val="000000"/>
                  <w:sz w:val="18"/>
                </w:rPr>
                <w:t>Contracts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1">
              <w:r>
                <w:rPr>
                  <w:rStyle w:val="InternetLink"/>
                  <w:rFonts w:ascii="Times New Roman;Times;serif" w:hAnsi="Times New Roman;Times;serif"/>
                  <w:color w:val="000000"/>
                  <w:sz w:val="18"/>
                </w:rPr>
                <w:t>A-12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2">
              <w:r>
                <w:rPr>
                  <w:rStyle w:val="InternetLink"/>
                  <w:rFonts w:ascii="Times New Roman;Times;serif" w:hAnsi="Times New Roman;Times;serif"/>
                  <w:color w:val="000000"/>
                  <w:sz w:val="18"/>
                </w:rPr>
                <w:t xml:space="preserve">2.12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2">
              <w:r>
                <w:rPr>
                  <w:rStyle w:val="InternetLink"/>
                  <w:rFonts w:ascii="Times New Roman;Times;serif" w:hAnsi="Times New Roman;Times;serif"/>
                  <w:color w:val="000000"/>
                  <w:sz w:val="18"/>
                </w:rPr>
                <w:t>Company Products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2">
              <w:r>
                <w:rPr>
                  <w:rStyle w:val="InternetLink"/>
                  <w:rFonts w:ascii="Times New Roman;Times;serif" w:hAnsi="Times New Roman;Times;serif"/>
                  <w:color w:val="000000"/>
                  <w:sz w:val="18"/>
                </w:rPr>
                <w:t>A-14</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3">
              <w:r>
                <w:rPr>
                  <w:rStyle w:val="InternetLink"/>
                  <w:rFonts w:ascii="Times New Roman;Times;serif" w:hAnsi="Times New Roman;Times;serif"/>
                  <w:color w:val="000000"/>
                  <w:sz w:val="18"/>
                </w:rPr>
                <w:t xml:space="preserve">2.13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3">
              <w:r>
                <w:rPr>
                  <w:rStyle w:val="InternetLink"/>
                  <w:rFonts w:ascii="Times New Roman;Times;serif" w:hAnsi="Times New Roman;Times;serif"/>
                  <w:color w:val="000000"/>
                  <w:sz w:val="18"/>
                </w:rPr>
                <w:t>Company Top Customers; Distributors and Suppliers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3">
              <w:r>
                <w:rPr>
                  <w:rStyle w:val="InternetLink"/>
                  <w:rFonts w:ascii="Times New Roman;Times;serif" w:hAnsi="Times New Roman;Times;serif"/>
                  <w:color w:val="000000"/>
                  <w:sz w:val="18"/>
                </w:rPr>
                <w:t>A-14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4">
              <w:r>
                <w:rPr>
                  <w:rStyle w:val="InternetLink"/>
                  <w:rFonts w:ascii="Times New Roman;Times;serif" w:hAnsi="Times New Roman;Times;serif"/>
                  <w:color w:val="000000"/>
                  <w:sz w:val="18"/>
                </w:rPr>
                <w:t xml:space="preserve">2.14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4">
              <w:r>
                <w:rPr>
                  <w:rStyle w:val="InternetLink"/>
                  <w:rFonts w:ascii="Times New Roman;Times;serif" w:hAnsi="Times New Roman;Times;serif"/>
                  <w:color w:val="000000"/>
                  <w:sz w:val="18"/>
                </w:rPr>
                <w:t>Compliance with Legal Requirements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4">
              <w:r>
                <w:rPr>
                  <w:rStyle w:val="InternetLink"/>
                  <w:rFonts w:ascii="Times New Roman;Times;serif" w:hAnsi="Times New Roman;Times;serif"/>
                  <w:color w:val="000000"/>
                  <w:sz w:val="18"/>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5">
              <w:r>
                <w:rPr>
                  <w:rStyle w:val="InternetLink"/>
                  <w:rFonts w:ascii="Times New Roman;Times;serif" w:hAnsi="Times New Roman;Times;serif"/>
                  <w:color w:val="000000"/>
                  <w:sz w:val="18"/>
                </w:rPr>
                <w:t xml:space="preserve">2.15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5">
              <w:r>
                <w:rPr>
                  <w:rStyle w:val="InternetLink"/>
                  <w:rFonts w:ascii="Times New Roman;Times;serif" w:hAnsi="Times New Roman;Times;serif"/>
                  <w:color w:val="000000"/>
                  <w:sz w:val="18"/>
                </w:rPr>
                <w:t>Legal Proceedings; Investigations;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5">
              <w:r>
                <w:rPr>
                  <w:rStyle w:val="InternetLink"/>
                  <w:rFonts w:ascii="Times New Roman;Times;serif" w:hAnsi="Times New Roman;Times;serif"/>
                  <w:color w:val="000000"/>
                  <w:sz w:val="18"/>
                </w:rPr>
                <w:t>A-15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6">
              <w:r>
                <w:rPr>
                  <w:rStyle w:val="InternetLink"/>
                  <w:rFonts w:ascii="Times New Roman;Times;serif" w:hAnsi="Times New Roman;Times;serif"/>
                  <w:color w:val="000000"/>
                  <w:sz w:val="18"/>
                </w:rPr>
                <w:t xml:space="preserve">2.16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6">
              <w:r>
                <w:rPr>
                  <w:rStyle w:val="InternetLink"/>
                  <w:rFonts w:ascii="Times New Roman;Times;serif" w:hAnsi="Times New Roman;Times;serif"/>
                  <w:color w:val="000000"/>
                  <w:sz w:val="18"/>
                </w:rPr>
                <w:t>Anti-Corruption Laws: Anti-Money Laundering Laws: Sanctions Laws: Export Control Laws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6">
              <w:r>
                <w:rPr>
                  <w:rStyle w:val="InternetLink"/>
                  <w:rFonts w:ascii="Times New Roman;Times;serif" w:hAnsi="Times New Roman;Times;serif"/>
                  <w:color w:val="000000"/>
                  <w:sz w:val="18"/>
                </w:rPr>
                <w:t>A-15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7">
              <w:r>
                <w:rPr>
                  <w:rStyle w:val="InternetLink"/>
                  <w:rFonts w:ascii="Times New Roman;Times;serif" w:hAnsi="Times New Roman;Times;serif"/>
                  <w:color w:val="000000"/>
                  <w:sz w:val="18"/>
                </w:rPr>
                <w:t xml:space="preserve">2.17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7">
              <w:r>
                <w:rPr>
                  <w:rStyle w:val="InternetLink"/>
                  <w:rFonts w:ascii="Times New Roman;Times;serif" w:hAnsi="Times New Roman;Times;serif"/>
                  <w:color w:val="000000"/>
                  <w:sz w:val="18"/>
                </w:rPr>
                <w:t>Tax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7">
              <w:r>
                <w:rPr>
                  <w:rStyle w:val="InternetLink"/>
                  <w:rFonts w:ascii="Times New Roman;Times;serif" w:hAnsi="Times New Roman;Times;serif"/>
                  <w:color w:val="000000"/>
                  <w:sz w:val="18"/>
                </w:rPr>
                <w:t>A-16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18">
              <w:r>
                <w:rPr>
                  <w:rStyle w:val="InternetLink"/>
                  <w:rFonts w:ascii="Times New Roman;Times;serif" w:hAnsi="Times New Roman;Times;serif"/>
                  <w:color w:val="000000"/>
                  <w:sz w:val="18"/>
                </w:rPr>
                <w:t xml:space="preserve">2.18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18">
              <w:r>
                <w:rPr>
                  <w:rStyle w:val="InternetLink"/>
                  <w:rFonts w:ascii="Times New Roman;Times;serif" w:hAnsi="Times New Roman;Times;serif"/>
                  <w:color w:val="000000"/>
                  <w:sz w:val="18"/>
                </w:rPr>
                <w:t>Employee Benefit Plans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18">
              <w:r>
                <w:rPr>
                  <w:rStyle w:val="InternetLink"/>
                  <w:rFonts w:ascii="Times New Roman;Times;serif" w:hAnsi="Times New Roman;Times;serif"/>
                  <w:color w:val="000000"/>
                  <w:sz w:val="18"/>
                </w:rPr>
                <w:t>A-17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19">
              <w:r>
                <w:rPr>
                  <w:rStyle w:val="InternetLink"/>
                  <w:rFonts w:ascii="Times New Roman;Times;serif" w:hAnsi="Times New Roman;Times;serif"/>
                  <w:color w:val="000000"/>
                  <w:sz w:val="18"/>
                </w:rPr>
                <w:t xml:space="preserve">2.19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19">
              <w:r>
                <w:rPr>
                  <w:rStyle w:val="InternetLink"/>
                  <w:rFonts w:ascii="Times New Roman;Times;serif" w:hAnsi="Times New Roman;Times;serif"/>
                  <w:color w:val="000000"/>
                  <w:sz w:val="18"/>
                </w:rPr>
                <w:t>Labor Matters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19">
              <w:r>
                <w:rPr>
                  <w:rStyle w:val="InternetLink"/>
                  <w:rFonts w:ascii="Times New Roman;Times;serif" w:hAnsi="Times New Roman;Times;serif"/>
                  <w:color w:val="000000"/>
                  <w:sz w:val="18"/>
                </w:rPr>
                <w:t>A-18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0">
              <w:r>
                <w:rPr>
                  <w:rStyle w:val="InternetLink"/>
                  <w:rFonts w:ascii="Times New Roman;Times;serif" w:hAnsi="Times New Roman;Times;serif"/>
                  <w:color w:val="000000"/>
                  <w:sz w:val="18"/>
                </w:rPr>
                <w:t xml:space="preserve">2.20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0">
              <w:r>
                <w:rPr>
                  <w:rStyle w:val="InternetLink"/>
                  <w:rFonts w:ascii="Times New Roman;Times;serif" w:hAnsi="Times New Roman;Times;serif"/>
                  <w:color w:val="000000"/>
                  <w:sz w:val="18"/>
                </w:rPr>
                <w:t>Environmental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0">
              <w:r>
                <w:rPr>
                  <w:rStyle w:val="InternetLink"/>
                  <w:rFonts w:ascii="Times New Roman;Times;serif" w:hAnsi="Times New Roman;Times;serif"/>
                  <w:color w:val="000000"/>
                  <w:sz w:val="18"/>
                </w:rPr>
                <w:t xml:space="preserve">A-19 </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1">
              <w:r>
                <w:rPr>
                  <w:rStyle w:val="InternetLink"/>
                  <w:rFonts w:ascii="Times New Roman;Times;serif" w:hAnsi="Times New Roman;Times;serif"/>
                  <w:color w:val="000000"/>
                  <w:sz w:val="18"/>
                </w:rPr>
                <w:t xml:space="preserve">2.21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1">
              <w:r>
                <w:rPr>
                  <w:rStyle w:val="InternetLink"/>
                  <w:rFonts w:ascii="Times New Roman;Times;serif" w:hAnsi="Times New Roman;Times;serif"/>
                  <w:color w:val="000000"/>
                  <w:sz w:val="18"/>
                </w:rPr>
                <w:t>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1">
              <w:r>
                <w:rPr>
                  <w:rStyle w:val="InternetLink"/>
                  <w:rFonts w:ascii="Times New Roman;Times;serif" w:hAnsi="Times New Roman;Times;serif"/>
                  <w:color w:val="000000"/>
                  <w:sz w:val="18"/>
                </w:rPr>
                <w:t xml:space="preserve">A-19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2">
              <w:r>
                <w:rPr>
                  <w:rStyle w:val="InternetLink"/>
                  <w:rFonts w:ascii="Times New Roman;Times;serif" w:hAnsi="Times New Roman;Times;serif"/>
                  <w:color w:val="000000"/>
                  <w:sz w:val="18"/>
                </w:rPr>
                <w:t xml:space="preserve">2.22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2">
              <w:r>
                <w:rPr>
                  <w:rStyle w:val="InternetLink"/>
                  <w:rFonts w:ascii="Times New Roman;Times;serif" w:hAnsi="Times New Roman;Times;serif"/>
                  <w:color w:val="000000"/>
                  <w:sz w:val="18"/>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2">
              <w:r>
                <w:rPr>
                  <w:rStyle w:val="InternetLink"/>
                  <w:rFonts w:ascii="Times New Roman;Times;serif" w:hAnsi="Times New Roman;Times;serif"/>
                  <w:color w:val="000000"/>
                  <w:sz w:val="18"/>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3">
              <w:r>
                <w:rPr>
                  <w:rStyle w:val="InternetLink"/>
                  <w:rFonts w:ascii="Times New Roman;Times;serif" w:hAnsi="Times New Roman;Times;serif"/>
                  <w:color w:val="000000"/>
                  <w:sz w:val="18"/>
                </w:rPr>
                <w:t xml:space="preserve">2.23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3">
              <w:r>
                <w:rPr>
                  <w:rStyle w:val="InternetLink"/>
                  <w:rFonts w:ascii="Times New Roman;Times;serif" w:hAnsi="Times New Roman;Times;serif"/>
                  <w:color w:val="000000"/>
                  <w:sz w:val="18"/>
                </w:rPr>
                <w:t>Ownership of Parent Common Stock</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3">
              <w:r>
                <w:rPr>
                  <w:rStyle w:val="InternetLink"/>
                  <w:rFonts w:ascii="Times New Roman;Times;serif" w:hAnsi="Times New Roman;Times;serif"/>
                  <w:color w:val="000000"/>
                  <w:sz w:val="18"/>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4">
              <w:r>
                <w:rPr>
                  <w:rStyle w:val="InternetLink"/>
                  <w:rFonts w:ascii="Times New Roman;Times;serif" w:hAnsi="Times New Roman;Times;serif"/>
                  <w:color w:val="000000"/>
                  <w:sz w:val="18"/>
                </w:rPr>
                <w:t xml:space="preserve">2.24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4">
              <w:r>
                <w:rPr>
                  <w:rStyle w:val="InternetLink"/>
                  <w:rFonts w:ascii="Times New Roman;Times;serif" w:hAnsi="Times New Roman;Times;serif"/>
                  <w:color w:val="000000"/>
                  <w:sz w:val="18"/>
                </w:rPr>
                <w:t>Opinion of Financial Advisor</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4">
              <w:r>
                <w:rPr>
                  <w:rStyle w:val="InternetLink"/>
                  <w:rFonts w:ascii="Times New Roman;Times;serif" w:hAnsi="Times New Roman;Times;serif"/>
                  <w:color w:val="000000"/>
                  <w:sz w:val="18"/>
                </w:rPr>
                <w:t>A-19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225">
              <w:r>
                <w:rPr>
                  <w:rStyle w:val="InternetLink"/>
                  <w:rFonts w:ascii="Times New Roman;Times;serif" w:hAnsi="Times New Roman;Times;serif"/>
                  <w:color w:val="000000"/>
                  <w:sz w:val="18"/>
                </w:rPr>
                <w:t xml:space="preserve">2.25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225">
              <w:r>
                <w:rPr>
                  <w:rStyle w:val="InternetLink"/>
                  <w:rFonts w:ascii="Times New Roman;Times;serif" w:hAnsi="Times New Roman;Times;serif"/>
                  <w:color w:val="000000"/>
                  <w:sz w:val="18"/>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225">
              <w:r>
                <w:rPr>
                  <w:rStyle w:val="InternetLink"/>
                  <w:rFonts w:ascii="Times New Roman;Times;serif" w:hAnsi="Times New Roman;Times;serif"/>
                  <w:color w:val="000000"/>
                  <w:sz w:val="18"/>
                </w:rPr>
                <w:t>A-19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226">
              <w:r>
                <w:rPr>
                  <w:rStyle w:val="InternetLink"/>
                  <w:rFonts w:ascii="Times New Roman;Times;serif" w:hAnsi="Times New Roman;Times;serif"/>
                  <w:color w:val="000000"/>
                  <w:sz w:val="18"/>
                </w:rPr>
                <w:t xml:space="preserve">2.26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226">
              <w:r>
                <w:rPr>
                  <w:rStyle w:val="InternetLink"/>
                  <w:rFonts w:ascii="Times New Roman;Times;serif" w:hAnsi="Times New Roman;Times;serif"/>
                  <w:color w:val="000000"/>
                  <w:sz w:val="18"/>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226">
              <w:r>
                <w:rPr>
                  <w:rStyle w:val="InternetLink"/>
                  <w:rFonts w:ascii="Times New Roman;Times;serif" w:hAnsi="Times New Roman;Times;serif"/>
                  <w:color w:val="000000"/>
                  <w:sz w:val="18"/>
                </w:rPr>
                <w:t>A-19</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3">
              <w:r>
                <w:rPr>
                  <w:rStyle w:val="InternetLink"/>
                  <w:rFonts w:ascii="Times New Roman;Times;serif" w:hAnsi="Times New Roman;Times;serif"/>
                  <w:b/>
                  <w:color w:val="000000"/>
                  <w:sz w:val="18"/>
                </w:rPr>
                <w:t>ARTICLE III. REPRESENTATIONS AND WARRANTIES OF PARENT AND MERGER SUB</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3">
              <w:r>
                <w:rPr>
                  <w:rStyle w:val="InternetLink"/>
                  <w:rFonts w:ascii="Times New Roman;Times;serif" w:hAnsi="Times New Roman;Times;serif"/>
                  <w:color w:val="000000"/>
                  <w:sz w:val="18"/>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1">
              <w:r>
                <w:rPr>
                  <w:rStyle w:val="InternetLink"/>
                  <w:rFonts w:ascii="Times New Roman;Times;serif" w:hAnsi="Times New Roman;Times;serif"/>
                  <w:color w:val="000000"/>
                  <w:sz w:val="18"/>
                </w:rPr>
                <w:t xml:space="preserve">3.1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1">
              <w:r>
                <w:rPr>
                  <w:rStyle w:val="InternetLink"/>
                  <w:rFonts w:ascii="Times New Roman;Times;serif" w:hAnsi="Times New Roman;Times;serif"/>
                  <w:color w:val="000000"/>
                  <w:sz w:val="18"/>
                </w:rPr>
                <w:t>Due Organization and Good Standing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1">
              <w:r>
                <w:rPr>
                  <w:rStyle w:val="InternetLink"/>
                  <w:rFonts w:ascii="Times New Roman;Times;serif" w:hAnsi="Times New Roman;Times;serif"/>
                  <w:color w:val="000000"/>
                  <w:sz w:val="18"/>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2">
              <w:r>
                <w:rPr>
                  <w:rStyle w:val="InternetLink"/>
                  <w:rFonts w:ascii="Times New Roman;Times;serif" w:hAnsi="Times New Roman;Times;serif"/>
                  <w:color w:val="000000"/>
                  <w:sz w:val="18"/>
                </w:rPr>
                <w:t xml:space="preserve">3.2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2">
              <w:r>
                <w:rPr>
                  <w:rStyle w:val="InternetLink"/>
                  <w:rFonts w:ascii="Times New Roman;Times;serif" w:hAnsi="Times New Roman;Times;serif"/>
                  <w:color w:val="000000"/>
                  <w:sz w:val="18"/>
                </w:rPr>
                <w:t>Authority; Binding Nature of Agreement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2">
              <w:r>
                <w:rPr>
                  <w:rStyle w:val="InternetLink"/>
                  <w:rFonts w:ascii="Times New Roman;Times;serif" w:hAnsi="Times New Roman;Times;serif"/>
                  <w:color w:val="000000"/>
                  <w:sz w:val="18"/>
                </w:rPr>
                <w:t>A-20</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3">
              <w:r>
                <w:rPr>
                  <w:rStyle w:val="InternetLink"/>
                  <w:rFonts w:ascii="Times New Roman;Times;serif" w:hAnsi="Times New Roman;Times;serif"/>
                  <w:color w:val="000000"/>
                  <w:sz w:val="18"/>
                </w:rPr>
                <w:t xml:space="preserve">3.3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3">
              <w:r>
                <w:rPr>
                  <w:rStyle w:val="InternetLink"/>
                  <w:rFonts w:ascii="Times New Roman;Times;serif" w:hAnsi="Times New Roman;Times;serif"/>
                  <w:color w:val="000000"/>
                  <w:sz w:val="18"/>
                </w:rPr>
                <w:t>Non-Contravention; Consents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3">
              <w:r>
                <w:rPr>
                  <w:rStyle w:val="InternetLink"/>
                  <w:rFonts w:ascii="Times New Roman;Times;serif" w:hAnsi="Times New Roman;Times;serif"/>
                  <w:color w:val="000000"/>
                  <w:sz w:val="18"/>
                </w:rPr>
                <w:t>A-20</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4">
              <w:r>
                <w:rPr>
                  <w:rStyle w:val="InternetLink"/>
                  <w:rFonts w:ascii="Times New Roman;Times;serif" w:hAnsi="Times New Roman;Times;serif"/>
                  <w:color w:val="000000"/>
                  <w:sz w:val="18"/>
                </w:rPr>
                <w:t xml:space="preserve">3.4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4">
              <w:r>
                <w:rPr>
                  <w:rStyle w:val="InternetLink"/>
                  <w:rFonts w:ascii="Times New Roman;Times;serif" w:hAnsi="Times New Roman;Times;serif"/>
                  <w:color w:val="000000"/>
                  <w:sz w:val="18"/>
                </w:rPr>
                <w:t>Legal Proceedings; Investigations; Orders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4">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5">
              <w:r>
                <w:rPr>
                  <w:rStyle w:val="InternetLink"/>
                  <w:rFonts w:ascii="Times New Roman;Times;serif" w:hAnsi="Times New Roman;Times;serif"/>
                  <w:color w:val="000000"/>
                  <w:sz w:val="18"/>
                </w:rPr>
                <w:t xml:space="preserve">3.5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5">
              <w:r>
                <w:rPr>
                  <w:rStyle w:val="InternetLink"/>
                  <w:rFonts w:ascii="Times New Roman;Times;serif" w:hAnsi="Times New Roman;Times;serif"/>
                  <w:color w:val="000000"/>
                  <w:sz w:val="18"/>
                </w:rPr>
                <w:t>Ownership of Company Common Stock</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5">
              <w:r>
                <w:rPr>
                  <w:rStyle w:val="InternetLink"/>
                  <w:rFonts w:ascii="Times New Roman;Times;serif" w:hAnsi="Times New Roman;Times;serif"/>
                  <w:color w:val="000000"/>
                  <w:sz w:val="18"/>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6">
              <w:r>
                <w:rPr>
                  <w:rStyle w:val="InternetLink"/>
                  <w:rFonts w:ascii="Times New Roman;Times;serif" w:hAnsi="Times New Roman;Times;serif"/>
                  <w:color w:val="000000"/>
                  <w:sz w:val="18"/>
                </w:rPr>
                <w:t xml:space="preserve">3.6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6">
              <w:r>
                <w:rPr>
                  <w:rStyle w:val="InternetLink"/>
                  <w:rFonts w:ascii="Times New Roman;Times;serif" w:hAnsi="Times New Roman;Times;serif"/>
                  <w:color w:val="000000"/>
                  <w:sz w:val="18"/>
                </w:rPr>
                <w:t>Brokers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6">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7">
              <w:r>
                <w:rPr>
                  <w:rStyle w:val="InternetLink"/>
                  <w:rFonts w:ascii="Times New Roman;Times;serif" w:hAnsi="Times New Roman;Times;serif"/>
                  <w:color w:val="000000"/>
                  <w:sz w:val="18"/>
                </w:rPr>
                <w:t xml:space="preserve">3.7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7">
              <w:r>
                <w:rPr>
                  <w:rStyle w:val="InternetLink"/>
                  <w:rFonts w:ascii="Times New Roman;Times;serif" w:hAnsi="Times New Roman;Times;serif"/>
                  <w:color w:val="000000"/>
                  <w:sz w:val="18"/>
                </w:rPr>
                <w:t>Information Supplied</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7">
              <w:r>
                <w:rPr>
                  <w:rStyle w:val="InternetLink"/>
                  <w:rFonts w:ascii="Times New Roman;Times;serif" w:hAnsi="Times New Roman;Times;serif"/>
                  <w:color w:val="000000"/>
                  <w:sz w:val="18"/>
                </w:rPr>
                <w:t>A-21</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38">
              <w:r>
                <w:rPr>
                  <w:rStyle w:val="InternetLink"/>
                  <w:rFonts w:ascii="Times New Roman;Times;serif" w:hAnsi="Times New Roman;Times;serif"/>
                  <w:color w:val="000000"/>
                  <w:sz w:val="18"/>
                </w:rPr>
                <w:t xml:space="preserve">3.8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38">
              <w:r>
                <w:rPr>
                  <w:rStyle w:val="InternetLink"/>
                  <w:rFonts w:ascii="Times New Roman;Times;serif" w:hAnsi="Times New Roman;Times;serif"/>
                  <w:color w:val="000000"/>
                  <w:sz w:val="18"/>
                </w:rPr>
                <w:t>Financing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38">
              <w:r>
                <w:rPr>
                  <w:rStyle w:val="InternetLink"/>
                  <w:rFonts w:ascii="Times New Roman;Times;serif" w:hAnsi="Times New Roman;Times;serif"/>
                  <w:color w:val="000000"/>
                  <w:sz w:val="18"/>
                </w:rPr>
                <w:t>A-21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39">
              <w:r>
                <w:rPr>
                  <w:rStyle w:val="InternetLink"/>
                  <w:rFonts w:ascii="Times New Roman;Times;serif" w:hAnsi="Times New Roman;Times;serif"/>
                  <w:color w:val="000000"/>
                  <w:sz w:val="18"/>
                </w:rPr>
                <w:t xml:space="preserve">3.9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39">
              <w:r>
                <w:rPr>
                  <w:rStyle w:val="InternetLink"/>
                  <w:rFonts w:ascii="Times New Roman;Times;serif" w:hAnsi="Times New Roman;Times;serif"/>
                  <w:color w:val="000000"/>
                  <w:sz w:val="18"/>
                </w:rPr>
                <w:t>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39">
              <w:r>
                <w:rPr>
                  <w:rStyle w:val="InternetLink"/>
                  <w:rFonts w:ascii="Times New Roman;Times;serif" w:hAnsi="Times New Roman;Times;serif"/>
                  <w:color w:val="000000"/>
                  <w:sz w:val="18"/>
                </w:rPr>
                <w:t>A-22</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4">
              <w:r>
                <w:rPr>
                  <w:rStyle w:val="InternetLink"/>
                  <w:rFonts w:ascii="Times New Roman;Times;serif" w:hAnsi="Times New Roman;Times;serif"/>
                  <w:b/>
                  <w:color w:val="000000"/>
                  <w:sz w:val="18"/>
                </w:rPr>
                <w:t>ARTICLE IV. COVENANTS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4">
              <w:r>
                <w:rPr>
                  <w:rStyle w:val="InternetLink"/>
                  <w:rFonts w:ascii="Times New Roman;Times;serif" w:hAnsi="Times New Roman;Times;serif"/>
                  <w:color w:val="000000"/>
                  <w:sz w:val="18"/>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
              <w:r>
                <w:rPr>
                  <w:rStyle w:val="InternetLink"/>
                  <w:rFonts w:ascii="Times New Roman;Times;serif" w:hAnsi="Times New Roman;Times;serif"/>
                  <w:color w:val="000000"/>
                  <w:sz w:val="18"/>
                </w:rPr>
                <w:t xml:space="preserve">4.1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
              <w:r>
                <w:rPr>
                  <w:rStyle w:val="InternetLink"/>
                  <w:rFonts w:ascii="Times New Roman;Times;serif" w:hAnsi="Times New Roman;Times;serif"/>
                  <w:color w:val="000000"/>
                  <w:sz w:val="18"/>
                </w:rPr>
                <w:t>Access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
              <w:r>
                <w:rPr>
                  <w:rStyle w:val="InternetLink"/>
                  <w:rFonts w:ascii="Times New Roman;Times;serif" w:hAnsi="Times New Roman;Times;serif"/>
                  <w:color w:val="000000"/>
                  <w:sz w:val="18"/>
                </w:rPr>
                <w:t>A-22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2">
              <w:r>
                <w:rPr>
                  <w:rStyle w:val="InternetLink"/>
                  <w:rFonts w:ascii="Times New Roman;Times;serif" w:hAnsi="Times New Roman;Times;serif"/>
                  <w:color w:val="000000"/>
                  <w:sz w:val="18"/>
                </w:rPr>
                <w:t xml:space="preserve">4.2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2">
              <w:r>
                <w:rPr>
                  <w:rStyle w:val="InternetLink"/>
                  <w:rFonts w:ascii="Times New Roman;Times;serif" w:hAnsi="Times New Roman;Times;serif"/>
                  <w:color w:val="000000"/>
                  <w:sz w:val="18"/>
                </w:rPr>
                <w:t>Interim Operations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2">
              <w:r>
                <w:rPr>
                  <w:rStyle w:val="InternetLink"/>
                  <w:rFonts w:ascii="Times New Roman;Times;serif" w:hAnsi="Times New Roman;Times;serif"/>
                  <w:color w:val="000000"/>
                  <w:sz w:val="18"/>
                </w:rPr>
                <w:t>A-22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3">
              <w:r>
                <w:rPr>
                  <w:rStyle w:val="InternetLink"/>
                  <w:rFonts w:ascii="Times New Roman;Times;serif" w:hAnsi="Times New Roman;Times;serif"/>
                  <w:color w:val="000000"/>
                  <w:sz w:val="18"/>
                </w:rPr>
                <w:t xml:space="preserve">4.3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3">
              <w:r>
                <w:rPr>
                  <w:rStyle w:val="InternetLink"/>
                  <w:rFonts w:ascii="Times New Roman;Times;serif" w:hAnsi="Times New Roman;Times;serif"/>
                  <w:color w:val="000000"/>
                  <w:sz w:val="18"/>
                </w:rPr>
                <w:t>Company No Solicitation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3">
              <w:r>
                <w:rPr>
                  <w:rStyle w:val="InternetLink"/>
                  <w:rFonts w:ascii="Times New Roman;Times;serif" w:hAnsi="Times New Roman;Times;serif"/>
                  <w:color w:val="000000"/>
                  <w:sz w:val="18"/>
                </w:rPr>
                <w:t>A-26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4">
              <w:r>
                <w:rPr>
                  <w:rStyle w:val="InternetLink"/>
                  <w:rFonts w:ascii="Times New Roman;Times;serif" w:hAnsi="Times New Roman;Times;serif"/>
                  <w:color w:val="000000"/>
                  <w:sz w:val="18"/>
                </w:rPr>
                <w:t xml:space="preserve">4.4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4">
              <w:r>
                <w:rPr>
                  <w:rStyle w:val="InternetLink"/>
                  <w:rFonts w:ascii="Times New Roman;Times;serif" w:hAnsi="Times New Roman;Times;serif"/>
                  <w:color w:val="000000"/>
                  <w:sz w:val="18"/>
                </w:rPr>
                <w:t>Proxy Statement</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4">
              <w:r>
                <w:rPr>
                  <w:rStyle w:val="InternetLink"/>
                  <w:rFonts w:ascii="Times New Roman;Times;serif" w:hAnsi="Times New Roman;Times;serif"/>
                  <w:color w:val="000000"/>
                  <w:sz w:val="18"/>
                </w:rPr>
                <w:t>A-28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5">
              <w:r>
                <w:rPr>
                  <w:rStyle w:val="InternetLink"/>
                  <w:rFonts w:ascii="Times New Roman;Times;serif" w:hAnsi="Times New Roman;Times;serif"/>
                  <w:color w:val="000000"/>
                  <w:sz w:val="18"/>
                </w:rPr>
                <w:t xml:space="preserve">4.5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5">
              <w:r>
                <w:rPr>
                  <w:rStyle w:val="InternetLink"/>
                  <w:rFonts w:ascii="Times New Roman;Times;serif" w:hAnsi="Times New Roman;Times;serif"/>
                  <w:color w:val="000000"/>
                  <w:sz w:val="18"/>
                </w:rPr>
                <w:t>Meeting of Company’s Stockholders; Company Change in Recommendation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5">
              <w:r>
                <w:rPr>
                  <w:rStyle w:val="InternetLink"/>
                  <w:rFonts w:ascii="Times New Roman;Times;serif" w:hAnsi="Times New Roman;Times;serif"/>
                  <w:color w:val="000000"/>
                  <w:sz w:val="18"/>
                </w:rPr>
                <w:t>A-28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6">
              <w:r>
                <w:rPr>
                  <w:rStyle w:val="InternetLink"/>
                  <w:rFonts w:ascii="Times New Roman;Times;serif" w:hAnsi="Times New Roman;Times;serif"/>
                  <w:color w:val="000000"/>
                  <w:sz w:val="18"/>
                </w:rPr>
                <w:t xml:space="preserve">4.6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6">
              <w:r>
                <w:rPr>
                  <w:rStyle w:val="InternetLink"/>
                  <w:rFonts w:ascii="Times New Roman;Times;serif" w:hAnsi="Times New Roman;Times;serif"/>
                  <w:color w:val="000000"/>
                  <w:sz w:val="18"/>
                </w:rPr>
                <w:t>Filings; Other Actions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6">
              <w:r>
                <w:rPr>
                  <w:rStyle w:val="InternetLink"/>
                  <w:rFonts w:ascii="Times New Roman;Times;serif" w:hAnsi="Times New Roman;Times;serif"/>
                  <w:color w:val="000000"/>
                  <w:sz w:val="18"/>
                </w:rPr>
                <w:t>A-31</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7">
              <w:r>
                <w:rPr>
                  <w:rStyle w:val="InternetLink"/>
                  <w:rFonts w:ascii="Times New Roman;Times;serif" w:hAnsi="Times New Roman;Times;serif"/>
                  <w:color w:val="000000"/>
                  <w:sz w:val="18"/>
                </w:rPr>
                <w:t xml:space="preserve">4.7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7">
              <w:r>
                <w:rPr>
                  <w:rStyle w:val="InternetLink"/>
                  <w:rFonts w:ascii="Times New Roman;Times;serif" w:hAnsi="Times New Roman;Times;serif"/>
                  <w:color w:val="000000"/>
                  <w:sz w:val="18"/>
                </w:rPr>
                <w:t>Merger Sub</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7">
              <w:r>
                <w:rPr>
                  <w:rStyle w:val="InternetLink"/>
                  <w:rFonts w:ascii="Times New Roman;Times;serif" w:hAnsi="Times New Roman;Times;serif"/>
                  <w:color w:val="000000"/>
                  <w:sz w:val="18"/>
                </w:rPr>
                <w:t>A-32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8">
              <w:r>
                <w:rPr>
                  <w:rStyle w:val="InternetLink"/>
                  <w:rFonts w:ascii="Times New Roman;Times;serif" w:hAnsi="Times New Roman;Times;serif"/>
                  <w:color w:val="000000"/>
                  <w:sz w:val="18"/>
                </w:rPr>
                <w:t xml:space="preserve">4.8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8">
              <w:r>
                <w:rPr>
                  <w:rStyle w:val="InternetLink"/>
                  <w:rFonts w:ascii="Times New Roman;Times;serif" w:hAnsi="Times New Roman;Times;serif"/>
                  <w:color w:val="000000"/>
                  <w:sz w:val="18"/>
                </w:rPr>
                <w:t>Publicity; Confidentiality</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8">
              <w:r>
                <w:rPr>
                  <w:rStyle w:val="InternetLink"/>
                  <w:rFonts w:ascii="Times New Roman;Times;serif" w:hAnsi="Times New Roman;Times;serif"/>
                  <w:color w:val="000000"/>
                  <w:sz w:val="18"/>
                </w:rPr>
                <w:t>A-32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9">
              <w:r>
                <w:rPr>
                  <w:rStyle w:val="InternetLink"/>
                  <w:rFonts w:ascii="Times New Roman;Times;serif" w:hAnsi="Times New Roman;Times;serif"/>
                  <w:color w:val="000000"/>
                  <w:sz w:val="18"/>
                </w:rPr>
                <w:t xml:space="preserve">4.9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9">
              <w:r>
                <w:rPr>
                  <w:rStyle w:val="InternetLink"/>
                  <w:rFonts w:ascii="Times New Roman;Times;serif" w:hAnsi="Times New Roman;Times;serif"/>
                  <w:color w:val="000000"/>
                  <w:sz w:val="18"/>
                </w:rPr>
                <w:t>Company ESPP; Other Employee Benefits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9">
              <w:r>
                <w:rPr>
                  <w:rStyle w:val="InternetLink"/>
                  <w:rFonts w:ascii="Times New Roman;Times;serif" w:hAnsi="Times New Roman;Times;serif"/>
                  <w:color w:val="000000"/>
                  <w:sz w:val="18"/>
                </w:rPr>
                <w:t>A-33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0">
              <w:r>
                <w:rPr>
                  <w:rStyle w:val="InternetLink"/>
                  <w:rFonts w:ascii="Times New Roman;Times;serif" w:hAnsi="Times New Roman;Times;serif"/>
                  <w:color w:val="000000"/>
                  <w:sz w:val="18"/>
                </w:rPr>
                <w:t xml:space="preserve">4.10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0">
              <w:r>
                <w:rPr>
                  <w:rStyle w:val="InternetLink"/>
                  <w:rFonts w:ascii="Times New Roman;Times;serif" w:hAnsi="Times New Roman;Times;serif"/>
                  <w:color w:val="000000"/>
                  <w:sz w:val="18"/>
                </w:rPr>
                <w:t>Indemnification; Directors’ and Officers’ Insurance</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0">
              <w:r>
                <w:rPr>
                  <w:rStyle w:val="InternetLink"/>
                  <w:rFonts w:ascii="Times New Roman;Times;serif" w:hAnsi="Times New Roman;Times;serif"/>
                  <w:color w:val="000000"/>
                  <w:sz w:val="18"/>
                </w:rPr>
                <w:t>A-35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1">
              <w:r>
                <w:rPr>
                  <w:rStyle w:val="InternetLink"/>
                  <w:rFonts w:ascii="Times New Roman;Times;serif" w:hAnsi="Times New Roman;Times;serif"/>
                  <w:color w:val="000000"/>
                  <w:sz w:val="18"/>
                </w:rPr>
                <w:t xml:space="preserve">4.11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1">
              <w:r>
                <w:rPr>
                  <w:rStyle w:val="InternetLink"/>
                  <w:rFonts w:ascii="Times New Roman;Times;serif" w:hAnsi="Times New Roman;Times;serif"/>
                  <w:color w:val="000000"/>
                  <w:sz w:val="18"/>
                </w:rPr>
                <w:t>Stockholder Litigation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1">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2">
              <w:r>
                <w:rPr>
                  <w:rStyle w:val="InternetLink"/>
                  <w:rFonts w:ascii="Times New Roman;Times;serif" w:hAnsi="Times New Roman;Times;serif"/>
                  <w:color w:val="000000"/>
                  <w:sz w:val="18"/>
                </w:rPr>
                <w:t xml:space="preserve">4.12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2">
              <w:r>
                <w:rPr>
                  <w:rStyle w:val="InternetLink"/>
                  <w:rFonts w:ascii="Times New Roman;Times;serif" w:hAnsi="Times New Roman;Times;serif"/>
                  <w:color w:val="000000"/>
                  <w:sz w:val="18"/>
                </w:rPr>
                <w:t>Stock Exchange Delisting</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2">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3">
              <w:r>
                <w:rPr>
                  <w:rStyle w:val="InternetLink"/>
                  <w:rFonts w:ascii="Times New Roman;Times;serif" w:hAnsi="Times New Roman;Times;serif"/>
                  <w:color w:val="000000"/>
                  <w:sz w:val="18"/>
                </w:rPr>
                <w:t xml:space="preserve">4.13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3">
              <w:r>
                <w:rPr>
                  <w:rStyle w:val="InternetLink"/>
                  <w:rFonts w:ascii="Times New Roman;Times;serif" w:hAnsi="Times New Roman;Times;serif"/>
                  <w:color w:val="000000"/>
                  <w:sz w:val="18"/>
                </w:rPr>
                <w:t>Section 16 Matters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3">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4">
              <w:r>
                <w:rPr>
                  <w:rStyle w:val="InternetLink"/>
                  <w:rFonts w:ascii="Times New Roman;Times;serif" w:hAnsi="Times New Roman;Times;serif"/>
                  <w:color w:val="000000"/>
                  <w:sz w:val="18"/>
                </w:rPr>
                <w:t xml:space="preserve">4.14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4">
              <w:r>
                <w:rPr>
                  <w:rStyle w:val="InternetLink"/>
                  <w:rFonts w:ascii="Times New Roman;Times;serif" w:hAnsi="Times New Roman;Times;serif"/>
                  <w:color w:val="000000"/>
                  <w:sz w:val="18"/>
                </w:rPr>
                <w:t>Director and Officer Resignations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4">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5">
              <w:r>
                <w:rPr>
                  <w:rStyle w:val="InternetLink"/>
                  <w:rFonts w:ascii="Times New Roman;Times;serif" w:hAnsi="Times New Roman;Times;serif"/>
                  <w:color w:val="000000"/>
                  <w:sz w:val="18"/>
                </w:rPr>
                <w:t xml:space="preserve">4.15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5">
              <w:r>
                <w:rPr>
                  <w:rStyle w:val="InternetLink"/>
                  <w:rFonts w:ascii="Times New Roman;Times;serif" w:hAnsi="Times New Roman;Times;serif"/>
                  <w:color w:val="000000"/>
                  <w:sz w:val="18"/>
                </w:rPr>
                <w:t>Takeover Statutes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5">
              <w:r>
                <w:rPr>
                  <w:rStyle w:val="InternetLink"/>
                  <w:rFonts w:ascii="Times New Roman;Times;serif" w:hAnsi="Times New Roman;Times;serif"/>
                  <w:color w:val="000000"/>
                  <w:sz w:val="18"/>
                </w:rPr>
                <w:t>A-36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6">
              <w:r>
                <w:rPr>
                  <w:rStyle w:val="InternetLink"/>
                  <w:rFonts w:ascii="Times New Roman;Times;serif" w:hAnsi="Times New Roman;Times;serif"/>
                  <w:color w:val="000000"/>
                  <w:sz w:val="18"/>
                </w:rPr>
                <w:t xml:space="preserve">4.16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6">
              <w:r>
                <w:rPr>
                  <w:rStyle w:val="InternetLink"/>
                  <w:rFonts w:ascii="Times New Roman;Times;serif" w:hAnsi="Times New Roman;Times;serif"/>
                  <w:color w:val="000000"/>
                  <w:sz w:val="18"/>
                </w:rPr>
                <w:t>Treatment of Company Indebtedness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6">
              <w:r>
                <w:rPr>
                  <w:rStyle w:val="InternetLink"/>
                  <w:rFonts w:ascii="Times New Roman;Times;serif" w:hAnsi="Times New Roman;Times;serif"/>
                  <w:color w:val="000000"/>
                  <w:sz w:val="18"/>
                </w:rPr>
                <w:t>A-36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7">
              <w:r>
                <w:rPr>
                  <w:rStyle w:val="InternetLink"/>
                  <w:rFonts w:ascii="Times New Roman;Times;serif" w:hAnsi="Times New Roman;Times;serif"/>
                  <w:color w:val="000000"/>
                  <w:sz w:val="18"/>
                </w:rPr>
                <w:t xml:space="preserve">4.17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7">
              <w:r>
                <w:rPr>
                  <w:rStyle w:val="InternetLink"/>
                  <w:rFonts w:ascii="Times New Roman;Times;serif" w:hAnsi="Times New Roman;Times;serif"/>
                  <w:color w:val="000000"/>
                  <w:sz w:val="18"/>
                </w:rPr>
                <w:t>Financing Cooperation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7">
              <w:r>
                <w:rPr>
                  <w:rStyle w:val="InternetLink"/>
                  <w:rFonts w:ascii="Times New Roman;Times;serif" w:hAnsi="Times New Roman;Times;serif"/>
                  <w:color w:val="000000"/>
                  <w:sz w:val="18"/>
                </w:rPr>
                <w:t>A-38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418">
              <w:r>
                <w:rPr>
                  <w:rStyle w:val="InternetLink"/>
                  <w:rFonts w:ascii="Times New Roman;Times;serif" w:hAnsi="Times New Roman;Times;serif"/>
                  <w:color w:val="000000"/>
                  <w:sz w:val="18"/>
                </w:rPr>
                <w:t>4.18</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418">
              <w:r>
                <w:rPr>
                  <w:rStyle w:val="InternetLink"/>
                  <w:rFonts w:ascii="Times New Roman;Times;serif" w:hAnsi="Times New Roman;Times;serif"/>
                  <w:color w:val="000000"/>
                  <w:sz w:val="18"/>
                </w:rPr>
                <w:t>Notification of Certain Events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418">
              <w:r>
                <w:rPr>
                  <w:rStyle w:val="InternetLink"/>
                  <w:rFonts w:ascii="Times New Roman;Times;serif" w:hAnsi="Times New Roman;Times;serif"/>
                  <w:color w:val="000000"/>
                  <w:sz w:val="18"/>
                </w:rPr>
                <w:t xml:space="preserve">A-40 </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419">
              <w:r>
                <w:rPr>
                  <w:rStyle w:val="InternetLink"/>
                  <w:rFonts w:ascii="Times New Roman;Times;serif" w:hAnsi="Times New Roman;Times;serif"/>
                  <w:color w:val="000000"/>
                  <w:sz w:val="18"/>
                </w:rPr>
                <w:t xml:space="preserve">4.19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419">
              <w:r>
                <w:rPr>
                  <w:rStyle w:val="InternetLink"/>
                  <w:rFonts w:ascii="Times New Roman;Times;serif" w:hAnsi="Times New Roman;Times;serif"/>
                  <w:color w:val="000000"/>
                  <w:sz w:val="18"/>
                </w:rPr>
                <w:t>Financing</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419">
              <w:r>
                <w:rPr>
                  <w:rStyle w:val="InternetLink"/>
                  <w:rFonts w:ascii="Times New Roman;Times;serif" w:hAnsi="Times New Roman;Times;serif"/>
                  <w:color w:val="000000"/>
                  <w:sz w:val="18"/>
                </w:rPr>
                <w:t>A-40</w:t>
              </w:r>
            </w:hyperlink>
          </w:p>
        </w:tc>
      </w:tr>
      <w:tr>
        <w:trPr/>
        <w:tc>
          <w:tcPr>
            <w:tcW w:w="7775" w:type="dxa"/>
            <w:gridSpan w:val="7"/>
            <w:tcBorders/>
            <w:shd w:fill="CCEEFF" w:val="clear"/>
            <w:vAlign w:val="center"/>
          </w:tcPr>
          <w:p>
            <w:pPr>
              <w:pStyle w:val="TableContents"/>
              <w:bidi w:val="0"/>
              <w:spacing w:before="0" w:after="283"/>
              <w:ind w:left="0" w:right="0" w:hanging="0"/>
              <w:jc w:val="left"/>
              <w:rPr/>
            </w:pPr>
            <w:hyperlink w:anchor="tANNXA5">
              <w:r>
                <w:rPr>
                  <w:rStyle w:val="InternetLink"/>
                  <w:rFonts w:ascii="Times New Roman;Times;serif" w:hAnsi="Times New Roman;Times;serif"/>
                  <w:b/>
                  <w:color w:val="000000"/>
                  <w:sz w:val="18"/>
                </w:rPr>
                <w:t>ARTICLE V. CONDITIONS TO EACH PARTY’S OBLIGATION TO EFFECT THE MERGER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A5">
              <w:r>
                <w:rPr>
                  <w:rStyle w:val="InternetLink"/>
                  <w:rFonts w:ascii="Times New Roman;Times;serif" w:hAnsi="Times New Roman;Times;serif"/>
                  <w:color w:val="000000"/>
                  <w:sz w:val="18"/>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51">
              <w:r>
                <w:rPr>
                  <w:rStyle w:val="InternetLink"/>
                  <w:rFonts w:ascii="Times New Roman;Times;serif" w:hAnsi="Times New Roman;Times;serif"/>
                  <w:color w:val="000000"/>
                  <w:sz w:val="18"/>
                </w:rPr>
                <w:t xml:space="preserve">5.1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51">
              <w:r>
                <w:rPr>
                  <w:rStyle w:val="InternetLink"/>
                  <w:rFonts w:ascii="Times New Roman;Times;serif" w:hAnsi="Times New Roman;Times;serif"/>
                  <w:color w:val="000000"/>
                  <w:sz w:val="18"/>
                </w:rPr>
                <w:t>Conditions Precedent to Each Party’s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51">
              <w:r>
                <w:rPr>
                  <w:rStyle w:val="InternetLink"/>
                  <w:rFonts w:ascii="Times New Roman;Times;serif" w:hAnsi="Times New Roman;Times;serif"/>
                  <w:color w:val="000000"/>
                  <w:sz w:val="18"/>
                </w:rPr>
                <w:t>A-42</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52">
              <w:r>
                <w:rPr>
                  <w:rStyle w:val="InternetLink"/>
                  <w:rFonts w:ascii="Times New Roman;Times;serif" w:hAnsi="Times New Roman;Times;serif"/>
                  <w:color w:val="000000"/>
                  <w:sz w:val="18"/>
                </w:rPr>
                <w:t xml:space="preserve">5.2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6680" w:type="dxa"/>
            <w:tcBorders/>
            <w:shd w:fill="CCEEFF" w:val="clear"/>
            <w:vAlign w:val="center"/>
          </w:tcPr>
          <w:p>
            <w:pPr>
              <w:pStyle w:val="TableContents"/>
              <w:bidi w:val="0"/>
              <w:spacing w:before="0" w:after="283"/>
              <w:ind w:left="0" w:right="0" w:hanging="0"/>
              <w:jc w:val="left"/>
              <w:rPr/>
            </w:pPr>
            <w:hyperlink w:anchor="tANNX52">
              <w:r>
                <w:rPr>
                  <w:rStyle w:val="InternetLink"/>
                  <w:rFonts w:ascii="Times New Roman;Times;serif" w:hAnsi="Times New Roman;Times;serif"/>
                  <w:color w:val="000000"/>
                  <w:sz w:val="18"/>
                </w:rPr>
                <w:t>Additional Conditions Precedent to Parent’s Obligations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55" w:type="dxa"/>
            <w:tcBorders/>
            <w:shd w:fill="CCEEFF" w:val="clear"/>
            <w:vAlign w:val="center"/>
          </w:tcPr>
          <w:p>
            <w:pPr>
              <w:pStyle w:val="TableContents"/>
              <w:bidi w:val="0"/>
              <w:spacing w:before="0" w:after="283"/>
              <w:ind w:left="175" w:right="0" w:hanging="0"/>
              <w:jc w:val="left"/>
              <w:rPr/>
            </w:pPr>
            <w:hyperlink w:anchor="tANNX52">
              <w:r>
                <w:rPr>
                  <w:rStyle w:val="InternetLink"/>
                  <w:rFonts w:ascii="Times New Roman;Times;serif" w:hAnsi="Times New Roman;Times;serif"/>
                  <w:color w:val="000000"/>
                  <w:sz w:val="18"/>
                </w:rPr>
                <w:t>A-42</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53">
              <w:r>
                <w:rPr>
                  <w:rStyle w:val="InternetLink"/>
                  <w:rFonts w:ascii="Times New Roman;Times;serif" w:hAnsi="Times New Roman;Times;serif"/>
                  <w:color w:val="000000"/>
                  <w:sz w:val="18"/>
                </w:rPr>
                <w:t xml:space="preserve">5.3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283"/>
              <w:ind w:left="0" w:right="0" w:hanging="0"/>
              <w:jc w:val="left"/>
              <w:rPr/>
            </w:pPr>
            <w:hyperlink w:anchor="tANNX53">
              <w:r>
                <w:rPr>
                  <w:rStyle w:val="InternetLink"/>
                  <w:rFonts w:ascii="Times New Roman;Times;serif" w:hAnsi="Times New Roman;Times;serif"/>
                  <w:color w:val="000000"/>
                  <w:sz w:val="18"/>
                </w:rPr>
                <w:t>Additional Conditions Precedent to Company’s Obligations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283"/>
              <w:ind w:left="175" w:right="0" w:hanging="0"/>
              <w:jc w:val="left"/>
              <w:rPr/>
            </w:pPr>
            <w:hyperlink w:anchor="tANNX53">
              <w:r>
                <w:rPr>
                  <w:rStyle w:val="InternetLink"/>
                  <w:rFonts w:ascii="Times New Roman;Times;serif" w:hAnsi="Times New Roman;Times;serif"/>
                  <w:color w:val="000000"/>
                  <w:sz w:val="18"/>
                </w:rPr>
                <w:t>A-43</w:t>
              </w:r>
            </w:hyperlink>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66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55"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6" w:name="ny20081083x2_defm14a_300-annexa_pg3"/>
        <w:bookmarkEnd w:id="206"/>
        <w:r>
          <w:rPr>
            <w:rStyle w:val="InternetLink"/>
            <w:rFonts w:ascii="Times New Roman;Times;Serif" w:hAnsi="Times New Roman;Times;Serif"/>
            <w:b/>
            <w:caps w:val="false"/>
            <w:smallCaps w:val="false"/>
            <w:color w:val="000000"/>
            <w:sz w:val="16"/>
          </w:rPr>
          <w:t>TABLE OF CONTENTS</w:t>
        </w:r>
      </w:hyperlink>
    </w:p>
    <w:tbl>
      <w:tblPr>
        <w:tblW w:w="6020" w:type="dxa"/>
        <w:jc w:val="left"/>
        <w:tblInd w:w="0" w:type="dxa"/>
        <w:tblLayout w:type="fixed"/>
        <w:tblCellMar>
          <w:top w:w="0" w:type="dxa"/>
          <w:left w:w="0" w:type="dxa"/>
          <w:bottom w:w="0" w:type="dxa"/>
          <w:right w:w="0" w:type="dxa"/>
        </w:tblCellMar>
      </w:tblPr>
      <w:tblGrid>
        <w:gridCol w:w="155"/>
        <w:gridCol w:w="140"/>
        <w:gridCol w:w="140"/>
        <w:gridCol w:w="380"/>
        <w:gridCol w:w="140"/>
        <w:gridCol w:w="140"/>
        <w:gridCol w:w="4205"/>
        <w:gridCol w:w="140"/>
        <w:gridCol w:w="140"/>
        <w:gridCol w:w="440"/>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bottom w:val="single" w:sz="8" w:space="0" w:color="000000"/>
            </w:tcBorders>
            <w:tcMar>
              <w:bottom w:w="28" w:type="dxa"/>
            </w:tcMar>
            <w:vAlign w:val="center"/>
          </w:tcPr>
          <w:p>
            <w:pPr>
              <w:pStyle w:val="TableContents"/>
              <w:bidi w:val="0"/>
              <w:spacing w:before="0" w:after="283"/>
              <w:jc w:val="center"/>
              <w:rPr>
                <w:rFonts w:ascii="Times New Roman;Times;serif" w:hAnsi="Times New Roman;Times;serif"/>
                <w:b/>
                <w:color w:val="000000"/>
                <w:sz w:val="16"/>
              </w:rPr>
            </w:pPr>
            <w:r>
              <w:rPr>
                <w:rFonts w:ascii="Times New Roman;Times;serif" w:hAnsi="Times New Roman;Times;serif"/>
                <w:b/>
                <w:color w:val="000000"/>
                <w:sz w:val="16"/>
              </w:rPr>
              <w:t xml:space="preserve">Page </w:t>
            </w:r>
          </w:p>
        </w:tc>
      </w:tr>
      <w:tr>
        <w:trPr/>
        <w:tc>
          <w:tcPr>
            <w:tcW w:w="5300" w:type="dxa"/>
            <w:gridSpan w:val="7"/>
            <w:tcBorders/>
            <w:shd w:fill="CCEEFF" w:val="clear"/>
            <w:vAlign w:val="center"/>
          </w:tcPr>
          <w:p>
            <w:pPr>
              <w:pStyle w:val="TableContents"/>
              <w:bidi w:val="0"/>
              <w:spacing w:before="0" w:after="283"/>
              <w:ind w:left="0" w:right="0" w:hanging="0"/>
              <w:jc w:val="left"/>
              <w:rPr/>
            </w:pPr>
            <w:hyperlink w:anchor="tANNXA6">
              <w:r>
                <w:rPr>
                  <w:rStyle w:val="InternetLink"/>
                  <w:rFonts w:ascii="Times New Roman;Times;serif" w:hAnsi="Times New Roman;Times;serif"/>
                  <w:b/>
                  <w:color w:val="000000"/>
                  <w:sz w:val="18"/>
                </w:rPr>
                <w:t>ARTICLE VI.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A6">
              <w:r>
                <w:rPr>
                  <w:rStyle w:val="InternetLink"/>
                  <w:rFonts w:ascii="Times New Roman;Times;serif" w:hAnsi="Times New Roman;Times;serif"/>
                  <w:color w:val="000000"/>
                  <w:sz w:val="18"/>
                </w:rPr>
                <w:t>A-43</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61">
              <w:r>
                <w:rPr>
                  <w:rStyle w:val="InternetLink"/>
                  <w:rFonts w:ascii="Times New Roman;Times;serif" w:hAnsi="Times New Roman;Times;serif"/>
                  <w:color w:val="000000"/>
                  <w:sz w:val="18"/>
                </w:rPr>
                <w:t xml:space="preserve">6.1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61">
              <w:r>
                <w:rPr>
                  <w:rStyle w:val="InternetLink"/>
                  <w:rFonts w:ascii="Times New Roman;Times;serif" w:hAnsi="Times New Roman;Times;serif"/>
                  <w:color w:val="000000"/>
                  <w:sz w:val="18"/>
                </w:rPr>
                <w:t>Termination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61">
              <w:r>
                <w:rPr>
                  <w:rStyle w:val="InternetLink"/>
                  <w:rFonts w:ascii="Times New Roman;Times;serif" w:hAnsi="Times New Roman;Times;serif"/>
                  <w:color w:val="000000"/>
                  <w:sz w:val="18"/>
                </w:rPr>
                <w:t>A-43</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62">
              <w:r>
                <w:rPr>
                  <w:rStyle w:val="InternetLink"/>
                  <w:rFonts w:ascii="Times New Roman;Times;serif" w:hAnsi="Times New Roman;Times;serif"/>
                  <w:color w:val="000000"/>
                  <w:sz w:val="18"/>
                </w:rPr>
                <w:t xml:space="preserve">6.2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62">
              <w:r>
                <w:rPr>
                  <w:rStyle w:val="InternetLink"/>
                  <w:rFonts w:ascii="Times New Roman;Times;serif" w:hAnsi="Times New Roman;Times;serif"/>
                  <w:color w:val="000000"/>
                  <w:sz w:val="18"/>
                </w:rPr>
                <w:t>Effect of Termination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62">
              <w:r>
                <w:rPr>
                  <w:rStyle w:val="InternetLink"/>
                  <w:rFonts w:ascii="Times New Roman;Times;serif" w:hAnsi="Times New Roman;Times;serif"/>
                  <w:color w:val="000000"/>
                  <w:sz w:val="18"/>
                </w:rPr>
                <w:t>A-44</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63">
              <w:r>
                <w:rPr>
                  <w:rStyle w:val="InternetLink"/>
                  <w:rFonts w:ascii="Times New Roman;Times;serif" w:hAnsi="Times New Roman;Times;serif"/>
                  <w:color w:val="000000"/>
                  <w:sz w:val="18"/>
                </w:rPr>
                <w:t xml:space="preserve">6.3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63">
              <w:r>
                <w:rPr>
                  <w:rStyle w:val="InternetLink"/>
                  <w:rFonts w:ascii="Times New Roman;Times;serif" w:hAnsi="Times New Roman;Times;serif"/>
                  <w:color w:val="000000"/>
                  <w:sz w:val="18"/>
                </w:rPr>
                <w:t>Termination Fees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63">
              <w:r>
                <w:rPr>
                  <w:rStyle w:val="InternetLink"/>
                  <w:rFonts w:ascii="Times New Roman;Times;serif" w:hAnsi="Times New Roman;Times;serif"/>
                  <w:color w:val="000000"/>
                  <w:sz w:val="18"/>
                </w:rPr>
                <w:t>A-44</w:t>
              </w:r>
            </w:hyperlink>
          </w:p>
        </w:tc>
      </w:tr>
      <w:tr>
        <w:trPr/>
        <w:tc>
          <w:tcPr>
            <w:tcW w:w="5300" w:type="dxa"/>
            <w:gridSpan w:val="7"/>
            <w:tcBorders/>
            <w:shd w:fill="CCEEFF" w:val="clear"/>
            <w:vAlign w:val="center"/>
          </w:tcPr>
          <w:p>
            <w:pPr>
              <w:pStyle w:val="TableContents"/>
              <w:bidi w:val="0"/>
              <w:spacing w:before="0" w:after="283"/>
              <w:ind w:left="0" w:right="0" w:hanging="0"/>
              <w:jc w:val="left"/>
              <w:rPr/>
            </w:pPr>
            <w:hyperlink w:anchor="tANNXA7">
              <w:r>
                <w:rPr>
                  <w:rStyle w:val="InternetLink"/>
                  <w:rFonts w:ascii="Times New Roman;Times;serif" w:hAnsi="Times New Roman;Times;serif"/>
                  <w:b/>
                  <w:color w:val="000000"/>
                  <w:sz w:val="18"/>
                </w:rPr>
                <w:t>ARTICLE VII. MISCELLANEOUS PROVISIONS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A7">
              <w:r>
                <w:rPr>
                  <w:rStyle w:val="InternetLink"/>
                  <w:rFonts w:ascii="Times New Roman;Times;serif" w:hAnsi="Times New Roman;Times;serif"/>
                  <w:color w:val="000000"/>
                  <w:sz w:val="18"/>
                </w:rPr>
                <w:t>A-45</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
              <w:r>
                <w:rPr>
                  <w:rStyle w:val="InternetLink"/>
                  <w:rFonts w:ascii="Times New Roman;Times;serif" w:hAnsi="Times New Roman;Times;serif"/>
                  <w:color w:val="000000"/>
                  <w:sz w:val="18"/>
                </w:rPr>
                <w:t xml:space="preserve">7.1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
              <w:r>
                <w:rPr>
                  <w:rStyle w:val="InternetLink"/>
                  <w:rFonts w:ascii="Times New Roman;Times;serif" w:hAnsi="Times New Roman;Times;serif"/>
                  <w:color w:val="000000"/>
                  <w:sz w:val="18"/>
                </w:rPr>
                <w:t>Amendment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
              <w:r>
                <w:rPr>
                  <w:rStyle w:val="InternetLink"/>
                  <w:rFonts w:ascii="Times New Roman;Times;serif" w:hAnsi="Times New Roman;Times;serif"/>
                  <w:color w:val="000000"/>
                  <w:sz w:val="18"/>
                </w:rPr>
                <w:t>A-45</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2">
              <w:r>
                <w:rPr>
                  <w:rStyle w:val="InternetLink"/>
                  <w:rFonts w:ascii="Times New Roman;Times;serif" w:hAnsi="Times New Roman;Times;serif"/>
                  <w:color w:val="000000"/>
                  <w:sz w:val="18"/>
                </w:rPr>
                <w:t xml:space="preserve">7.2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2">
              <w:r>
                <w:rPr>
                  <w:rStyle w:val="InternetLink"/>
                  <w:rFonts w:ascii="Times New Roman;Times;serif" w:hAnsi="Times New Roman;Times;serif"/>
                  <w:color w:val="000000"/>
                  <w:sz w:val="18"/>
                </w:rPr>
                <w:t>Waiver</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2">
              <w:r>
                <w:rPr>
                  <w:rStyle w:val="InternetLink"/>
                  <w:rFonts w:ascii="Times New Roman;Times;serif" w:hAnsi="Times New Roman;Times;serif"/>
                  <w:color w:val="000000"/>
                  <w:sz w:val="18"/>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3">
              <w:r>
                <w:rPr>
                  <w:rStyle w:val="InternetLink"/>
                  <w:rFonts w:ascii="Times New Roman;Times;serif" w:hAnsi="Times New Roman;Times;serif"/>
                  <w:color w:val="000000"/>
                  <w:sz w:val="18"/>
                </w:rPr>
                <w:t xml:space="preserve">7.3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3">
              <w:r>
                <w:rPr>
                  <w:rStyle w:val="InternetLink"/>
                  <w:rFonts w:ascii="Times New Roman;Times;serif" w:hAnsi="Times New Roman;Times;serif"/>
                  <w:color w:val="000000"/>
                  <w:sz w:val="18"/>
                </w:rPr>
                <w:t>No Survival of Representations and Warranties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3">
              <w:r>
                <w:rPr>
                  <w:rStyle w:val="InternetLink"/>
                  <w:rFonts w:ascii="Times New Roman;Times;serif" w:hAnsi="Times New Roman;Times;serif"/>
                  <w:color w:val="000000"/>
                  <w:sz w:val="18"/>
                </w:rPr>
                <w:t>A-46</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4">
              <w:r>
                <w:rPr>
                  <w:rStyle w:val="InternetLink"/>
                  <w:rFonts w:ascii="Times New Roman;Times;serif" w:hAnsi="Times New Roman;Times;serif"/>
                  <w:color w:val="000000"/>
                  <w:sz w:val="18"/>
                </w:rPr>
                <w:t xml:space="preserve">7.4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4">
              <w:r>
                <w:rPr>
                  <w:rStyle w:val="InternetLink"/>
                  <w:rFonts w:ascii="Times New Roman;Times;serif" w:hAnsi="Times New Roman;Times;serif"/>
                  <w:color w:val="000000"/>
                  <w:sz w:val="18"/>
                </w:rPr>
                <w:t>Entire Agreement; Non-Reliance; Third-Party Beneficiaries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4">
              <w:r>
                <w:rPr>
                  <w:rStyle w:val="InternetLink"/>
                  <w:rFonts w:ascii="Times New Roman;Times;serif" w:hAnsi="Times New Roman;Times;serif"/>
                  <w:color w:val="000000"/>
                  <w:sz w:val="18"/>
                </w:rPr>
                <w:t>A-46</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5">
              <w:r>
                <w:rPr>
                  <w:rStyle w:val="InternetLink"/>
                  <w:rFonts w:ascii="Times New Roman;Times;serif" w:hAnsi="Times New Roman;Times;serif"/>
                  <w:color w:val="000000"/>
                  <w:sz w:val="18"/>
                </w:rPr>
                <w:t xml:space="preserve">7.5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5">
              <w:r>
                <w:rPr>
                  <w:rStyle w:val="InternetLink"/>
                  <w:rFonts w:ascii="Times New Roman;Times;serif" w:hAnsi="Times New Roman;Times;serif"/>
                  <w:color w:val="000000"/>
                  <w:sz w:val="18"/>
                </w:rPr>
                <w:t>Governing Law; Jurisdiction</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5">
              <w:r>
                <w:rPr>
                  <w:rStyle w:val="InternetLink"/>
                  <w:rFonts w:ascii="Times New Roman;Times;serif" w:hAnsi="Times New Roman;Times;serif"/>
                  <w:color w:val="000000"/>
                  <w:sz w:val="18"/>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6">
              <w:r>
                <w:rPr>
                  <w:rStyle w:val="InternetLink"/>
                  <w:rFonts w:ascii="Times New Roman;Times;serif" w:hAnsi="Times New Roman;Times;serif"/>
                  <w:color w:val="000000"/>
                  <w:sz w:val="18"/>
                </w:rPr>
                <w:t xml:space="preserve">7.6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6">
              <w:r>
                <w:rPr>
                  <w:rStyle w:val="InternetLink"/>
                  <w:rFonts w:ascii="Times New Roman;Times;serif" w:hAnsi="Times New Roman;Times;serif"/>
                  <w:color w:val="000000"/>
                  <w:sz w:val="18"/>
                </w:rPr>
                <w:t>Payment of Expenses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6">
              <w:r>
                <w:rPr>
                  <w:rStyle w:val="InternetLink"/>
                  <w:rFonts w:ascii="Times New Roman;Times;serif" w:hAnsi="Times New Roman;Times;serif"/>
                  <w:color w:val="000000"/>
                  <w:sz w:val="18"/>
                </w:rPr>
                <w:t>A-47</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7">
              <w:r>
                <w:rPr>
                  <w:rStyle w:val="InternetLink"/>
                  <w:rFonts w:ascii="Times New Roman;Times;serif" w:hAnsi="Times New Roman;Times;serif"/>
                  <w:color w:val="000000"/>
                  <w:sz w:val="18"/>
                </w:rPr>
                <w:t xml:space="preserve">7.7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7">
              <w:r>
                <w:rPr>
                  <w:rStyle w:val="InternetLink"/>
                  <w:rFonts w:ascii="Times New Roman;Times;serif" w:hAnsi="Times New Roman;Times;serif"/>
                  <w:color w:val="000000"/>
                  <w:sz w:val="18"/>
                </w:rPr>
                <w:t>Assignability; Parties in Interest</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7">
              <w:r>
                <w:rPr>
                  <w:rStyle w:val="InternetLink"/>
                  <w:rFonts w:ascii="Times New Roman;Times;serif" w:hAnsi="Times New Roman;Times;serif"/>
                  <w:color w:val="000000"/>
                  <w:sz w:val="18"/>
                </w:rPr>
                <w:t>A-47</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8">
              <w:r>
                <w:rPr>
                  <w:rStyle w:val="InternetLink"/>
                  <w:rFonts w:ascii="Times New Roman;Times;serif" w:hAnsi="Times New Roman;Times;serif"/>
                  <w:color w:val="000000"/>
                  <w:sz w:val="18"/>
                </w:rPr>
                <w:t xml:space="preserve">7.8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8">
              <w:r>
                <w:rPr>
                  <w:rStyle w:val="InternetLink"/>
                  <w:rFonts w:ascii="Times New Roman;Times;serif" w:hAnsi="Times New Roman;Times;serif"/>
                  <w:color w:val="000000"/>
                  <w:sz w:val="18"/>
                </w:rPr>
                <w:t>Notices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8">
              <w:r>
                <w:rPr>
                  <w:rStyle w:val="InternetLink"/>
                  <w:rFonts w:ascii="Times New Roman;Times;serif" w:hAnsi="Times New Roman;Times;serif"/>
                  <w:color w:val="000000"/>
                  <w:sz w:val="18"/>
                </w:rPr>
                <w:t>A-48</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9">
              <w:r>
                <w:rPr>
                  <w:rStyle w:val="InternetLink"/>
                  <w:rFonts w:ascii="Times New Roman;Times;serif" w:hAnsi="Times New Roman;Times;serif"/>
                  <w:color w:val="000000"/>
                  <w:sz w:val="18"/>
                </w:rPr>
                <w:t xml:space="preserve">7.9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9">
              <w:r>
                <w:rPr>
                  <w:rStyle w:val="InternetLink"/>
                  <w:rFonts w:ascii="Times New Roman;Times;serif" w:hAnsi="Times New Roman;Times;serif"/>
                  <w:color w:val="000000"/>
                  <w:sz w:val="18"/>
                </w:rPr>
                <w:t>Severability</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9">
              <w:r>
                <w:rPr>
                  <w:rStyle w:val="InternetLink"/>
                  <w:rFonts w:ascii="Times New Roman;Times;serif" w:hAnsi="Times New Roman;Times;serif"/>
                  <w:color w:val="000000"/>
                  <w:sz w:val="18"/>
                </w:rPr>
                <w:t>A-48</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0">
              <w:r>
                <w:rPr>
                  <w:rStyle w:val="InternetLink"/>
                  <w:rFonts w:ascii="Times New Roman;Times;serif" w:hAnsi="Times New Roman;Times;serif"/>
                  <w:color w:val="000000"/>
                  <w:sz w:val="18"/>
                </w:rPr>
                <w:t xml:space="preserve">7.10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0">
              <w:r>
                <w:rPr>
                  <w:rStyle w:val="InternetLink"/>
                  <w:rFonts w:ascii="Times New Roman;Times;serif" w:hAnsi="Times New Roman;Times;serif"/>
                  <w:color w:val="000000"/>
                  <w:sz w:val="18"/>
                </w:rPr>
                <w:t>Counterparts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0">
              <w:r>
                <w:rPr>
                  <w:rStyle w:val="InternetLink"/>
                  <w:rFonts w:ascii="Times New Roman;Times;serif" w:hAnsi="Times New Roman;Times;serif"/>
                  <w:color w:val="000000"/>
                  <w:sz w:val="18"/>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1">
              <w:r>
                <w:rPr>
                  <w:rStyle w:val="InternetLink"/>
                  <w:rFonts w:ascii="Times New Roman;Times;serif" w:hAnsi="Times New Roman;Times;serif"/>
                  <w:color w:val="000000"/>
                  <w:sz w:val="18"/>
                </w:rPr>
                <w:t xml:space="preserve">7.11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1">
              <w:r>
                <w:rPr>
                  <w:rStyle w:val="InternetLink"/>
                  <w:rFonts w:ascii="Times New Roman;Times;serif" w:hAnsi="Times New Roman;Times;serif"/>
                  <w:color w:val="000000"/>
                  <w:sz w:val="18"/>
                </w:rPr>
                <w:t>Specific Performance</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1">
              <w:r>
                <w:rPr>
                  <w:rStyle w:val="InternetLink"/>
                  <w:rFonts w:ascii="Times New Roman;Times;serif" w:hAnsi="Times New Roman;Times;serif"/>
                  <w:color w:val="000000"/>
                  <w:sz w:val="18"/>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2">
              <w:r>
                <w:rPr>
                  <w:rStyle w:val="InternetLink"/>
                  <w:rFonts w:ascii="Times New Roman;Times;serif" w:hAnsi="Times New Roman;Times;serif"/>
                  <w:color w:val="000000"/>
                  <w:sz w:val="18"/>
                </w:rPr>
                <w:t xml:space="preserve">7.12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2">
              <w:r>
                <w:rPr>
                  <w:rStyle w:val="InternetLink"/>
                  <w:rFonts w:ascii="Times New Roman;Times;serif" w:hAnsi="Times New Roman;Times;serif"/>
                  <w:color w:val="000000"/>
                  <w:sz w:val="18"/>
                </w:rPr>
                <w:t>Disclosure Schedules</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2">
              <w:r>
                <w:rPr>
                  <w:rStyle w:val="InternetLink"/>
                  <w:rFonts w:ascii="Times New Roman;Times;serif" w:hAnsi="Times New Roman;Times;serif"/>
                  <w:color w:val="000000"/>
                  <w:sz w:val="18"/>
                </w:rPr>
                <w:t>A-49</w:t>
              </w:r>
            </w:hyperlink>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0" w:type="dxa"/>
            <w:tcBorders/>
            <w:vAlign w:val="center"/>
          </w:tcPr>
          <w:p>
            <w:pPr>
              <w:pStyle w:val="TableContents"/>
              <w:bidi w:val="0"/>
              <w:spacing w:before="0" w:after="283"/>
              <w:ind w:left="83" w:right="0" w:hanging="0"/>
              <w:jc w:val="left"/>
              <w:rPr/>
            </w:pPr>
            <w:hyperlink w:anchor="tANNX713">
              <w:r>
                <w:rPr>
                  <w:rStyle w:val="InternetLink"/>
                  <w:rFonts w:ascii="Times New Roman;Times;serif" w:hAnsi="Times New Roman;Times;serif"/>
                  <w:color w:val="000000"/>
                  <w:sz w:val="18"/>
                </w:rPr>
                <w:t xml:space="preserve">7.13 </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205" w:type="dxa"/>
            <w:tcBorders/>
            <w:vAlign w:val="center"/>
          </w:tcPr>
          <w:p>
            <w:pPr>
              <w:pStyle w:val="TableContents"/>
              <w:bidi w:val="0"/>
              <w:spacing w:before="0" w:after="283"/>
              <w:ind w:left="0" w:right="0" w:hanging="0"/>
              <w:jc w:val="left"/>
              <w:rPr/>
            </w:pPr>
            <w:hyperlink w:anchor="tANNX713">
              <w:r>
                <w:rPr>
                  <w:rStyle w:val="InternetLink"/>
                  <w:rFonts w:ascii="Times New Roman;Times;serif" w:hAnsi="Times New Roman;Times;serif"/>
                  <w:color w:val="000000"/>
                  <w:sz w:val="18"/>
                </w:rPr>
                <w:t>Certain Financing Provisions</w:t>
              </w:r>
            </w:hyperlink>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0" w:type="dxa"/>
            <w:tcBorders/>
            <w:vAlign w:val="center"/>
          </w:tcPr>
          <w:p>
            <w:pPr>
              <w:pStyle w:val="TableContents"/>
              <w:bidi w:val="0"/>
              <w:spacing w:before="0" w:after="283"/>
              <w:ind w:left="175" w:right="0" w:hanging="0"/>
              <w:jc w:val="left"/>
              <w:rPr/>
            </w:pPr>
            <w:hyperlink w:anchor="tANNX713">
              <w:r>
                <w:rPr>
                  <w:rStyle w:val="InternetLink"/>
                  <w:rFonts w:ascii="Times New Roman;Times;serif" w:hAnsi="Times New Roman;Times;serif"/>
                  <w:color w:val="000000"/>
                  <w:sz w:val="18"/>
                </w:rPr>
                <w:t>A-49</w:t>
              </w:r>
            </w:hyperlink>
          </w:p>
        </w:tc>
      </w:tr>
      <w:tr>
        <w:trPr/>
        <w:tc>
          <w:tcPr>
            <w:tcW w:w="155" w:type="dxa"/>
            <w:tcBorders/>
            <w:shd w:fill="CCEEFF" w:val="clear"/>
            <w:vAlign w:val="center"/>
          </w:tcPr>
          <w:p>
            <w:pPr>
              <w:pStyle w:val="TableContents"/>
              <w:bidi w:val="0"/>
              <w:spacing w:before="0" w:after="0"/>
              <w:jc w:val="left"/>
              <w:rPr>
                <w:color w:val="000000"/>
              </w:rPr>
            </w:pPr>
            <w:r>
              <w:rPr>
                <w:color w:val="000000"/>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283"/>
              <w:ind w:left="83" w:right="0" w:hanging="0"/>
              <w:jc w:val="left"/>
              <w:rPr/>
            </w:pPr>
            <w:hyperlink w:anchor="tANNX714">
              <w:r>
                <w:rPr>
                  <w:rStyle w:val="InternetLink"/>
                  <w:rFonts w:ascii="Times New Roman;Times;serif" w:hAnsi="Times New Roman;Times;serif"/>
                  <w:color w:val="000000"/>
                  <w:sz w:val="18"/>
                </w:rPr>
                <w:t xml:space="preserve">7.14 </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283"/>
              <w:ind w:left="0" w:right="0" w:hanging="0"/>
              <w:jc w:val="left"/>
              <w:rPr/>
            </w:pPr>
            <w:hyperlink w:anchor="tANNX714">
              <w:r>
                <w:rPr>
                  <w:rStyle w:val="InternetLink"/>
                  <w:rFonts w:ascii="Times New Roman;Times;serif" w:hAnsi="Times New Roman;Times;serif"/>
                  <w:color w:val="000000"/>
                  <w:sz w:val="18"/>
                </w:rPr>
                <w:t>Construction</w:t>
              </w:r>
            </w:hyperlink>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283"/>
              <w:ind w:left="175" w:right="0" w:hanging="0"/>
              <w:jc w:val="left"/>
              <w:rPr/>
            </w:pPr>
            <w:hyperlink w:anchor="tANNX714">
              <w:r>
                <w:rPr>
                  <w:rStyle w:val="InternetLink"/>
                  <w:rFonts w:ascii="Times New Roman;Times;serif" w:hAnsi="Times New Roman;Times;serif"/>
                  <w:color w:val="000000"/>
                  <w:sz w:val="18"/>
                </w:rPr>
                <w:t>A-50</w:t>
              </w:r>
            </w:hyperlink>
          </w:p>
        </w:tc>
      </w:tr>
      <w:tr>
        <w:trPr/>
        <w:tc>
          <w:tcPr>
            <w:tcW w:w="15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38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205"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40" w:type="dxa"/>
            <w:tcBorders/>
            <w:shd w:fill="CCEEFF" w:val="clear"/>
            <w:vAlign w:val="center"/>
          </w:tcPr>
          <w:p>
            <w:pPr>
              <w:pStyle w:val="TableContents"/>
              <w:bidi w:val="0"/>
              <w:spacing w:before="0" w:after="0"/>
              <w:jc w:val="left"/>
              <w:rPr/>
            </w:pPr>
            <w:r>
              <w:rPr/>
              <w:t> </w:t>
            </w:r>
          </w:p>
        </w:tc>
      </w:tr>
    </w:tbl>
    <w:p>
      <w:pPr>
        <w:pStyle w:val="TextBody"/>
        <w:bidi w:val="0"/>
        <w:spacing w:before="190" w:after="283"/>
        <w:ind w:left="0" w:right="0" w:hanging="0"/>
        <w:jc w:val="left"/>
        <w:rPr>
          <w:rFonts w:ascii="Times New Roman;Times;serif" w:hAnsi="Times New Roman;Times;serif"/>
          <w:color w:val="000000"/>
          <w:sz w:val="18"/>
          <w:u w:val="single"/>
        </w:rPr>
      </w:pPr>
      <w:r>
        <w:rPr>
          <w:rFonts w:ascii="Times New Roman;Times;serif" w:hAnsi="Times New Roman;Times;serif"/>
          <w:color w:val="000000"/>
          <w:sz w:val="18"/>
          <w:u w:val="single"/>
        </w:rPr>
        <w:t>Exhibit</w:t>
      </w:r>
    </w:p>
    <w:tbl>
      <w:tblPr>
        <w:tblW w:w="5435" w:type="dxa"/>
        <w:jc w:val="left"/>
        <w:tblInd w:w="0" w:type="dxa"/>
        <w:tblLayout w:type="fixed"/>
        <w:tblCellMar>
          <w:top w:w="0" w:type="dxa"/>
          <w:left w:w="0" w:type="dxa"/>
          <w:bottom w:w="0" w:type="dxa"/>
          <w:right w:w="0" w:type="dxa"/>
        </w:tblCellMar>
      </w:tblPr>
      <w:tblGrid>
        <w:gridCol w:w="725"/>
        <w:gridCol w:w="140"/>
        <w:gridCol w:w="140"/>
        <w:gridCol w:w="4430"/>
      </w:tblGrid>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A</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Definitions </w:t>
            </w:r>
          </w:p>
        </w:tc>
      </w:tr>
      <w:tr>
        <w:trPr/>
        <w:tc>
          <w:tcPr>
            <w:tcW w:w="72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Exhibit B</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Form of Certificate of Incorporation of Surviving Corporation</w:t>
            </w:r>
          </w:p>
        </w:tc>
      </w:tr>
      <w:tr>
        <w:trPr/>
        <w:tc>
          <w:tcPr>
            <w:tcW w:w="72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430" w:type="dxa"/>
            <w:tcBorders/>
            <w:vAlign w:val="center"/>
          </w:tcPr>
          <w:p>
            <w:pPr>
              <w:pStyle w:val="TableContents"/>
              <w:bidi w:val="0"/>
              <w:spacing w:before="0" w:after="0"/>
              <w:jc w:val="left"/>
              <w:rPr/>
            </w:pPr>
            <w:r>
              <w:rPr/>
              <w:t> </w:t>
            </w:r>
          </w:p>
        </w:tc>
      </w:tr>
    </w:tbl>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A-ii</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07" w:name="ny20081083x2_defm14a_300-annexa_pg4"/>
        <w:bookmarkEnd w:id="20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208" w:name="tAGAPR"/>
      <w:bookmarkEnd w:id="208"/>
      <w:r>
        <w:rPr>
          <w:rFonts w:ascii="Times New Roman;Times;serif" w:hAnsi="Times New Roman;Times;serif"/>
          <w:b/>
          <w:color w:val="000000"/>
          <w:sz w:val="18"/>
        </w:rPr>
        <w:t xml:space="preserve">AMENDED AND RESTATED AGREEMENT AND PLAN OF MERGER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THIS AMENDED AND RESTATED AGREEMENT AND PLAN OF MERGER (this “</w:t>
      </w:r>
      <w:r>
        <w:rPr>
          <w:rFonts w:ascii="Times New Roman;Times;serif" w:hAnsi="Times New Roman;Times;serif"/>
          <w:color w:val="000000"/>
          <w:sz w:val="18"/>
          <w:u w:val="single"/>
        </w:rPr>
        <w:t>Agreement</w:t>
      </w:r>
      <w:r>
        <w:rPr>
          <w:rFonts w:ascii="Times New Roman;Times;serif" w:hAnsi="Times New Roman;Times;serif"/>
          <w:color w:val="000000"/>
          <w:sz w:val="18"/>
        </w:rPr>
        <w:t>”), dated as of October 1, 2026, by and among: ON Semiconductor Corporation, a Delaware corporation (“</w:t>
      </w:r>
      <w:r>
        <w:rPr>
          <w:rFonts w:ascii="Times New Roman;Times;serif" w:hAnsi="Times New Roman;Times;serif"/>
          <w:color w:val="000000"/>
          <w:sz w:val="18"/>
          <w:u w:val="single"/>
        </w:rPr>
        <w:t>Parent</w:t>
      </w:r>
      <w:r>
        <w:rPr>
          <w:rFonts w:ascii="Times New Roman;Times;serif" w:hAnsi="Times New Roman;Times;serif"/>
          <w:color w:val="000000"/>
          <w:sz w:val="18"/>
        </w:rPr>
        <w:t>”); Sonic Acquisition Corp., a Delaware corporation and a wholly owned subsidiary of Parent (“</w:t>
      </w:r>
      <w:r>
        <w:rPr>
          <w:rFonts w:ascii="Times New Roman;Times;serif" w:hAnsi="Times New Roman;Times;serif"/>
          <w:color w:val="000000"/>
          <w:sz w:val="18"/>
          <w:u w:val="single"/>
        </w:rPr>
        <w:t>Merger Sub</w:t>
      </w:r>
      <w:r>
        <w:rPr>
          <w:rFonts w:ascii="Times New Roman;Times;serif" w:hAnsi="Times New Roman;Times;serif"/>
          <w:color w:val="000000"/>
          <w:sz w:val="18"/>
        </w:rPr>
        <w:t>”); and Synaptics Incorporated, a Delaware corporation (the “</w:t>
      </w:r>
      <w:r>
        <w:rPr>
          <w:rFonts w:ascii="Times New Roman;Times;serif" w:hAnsi="Times New Roman;Times;serif"/>
          <w:color w:val="000000"/>
          <w:sz w:val="18"/>
          <w:u w:val="single"/>
        </w:rPr>
        <w:t>Company</w:t>
      </w:r>
      <w:r>
        <w:rPr>
          <w:rFonts w:ascii="Times New Roman;Times;serif" w:hAnsi="Times New Roman;Times;serif"/>
          <w:color w:val="000000"/>
          <w:sz w:val="18"/>
        </w:rPr>
        <w:t>”), amends and restates in its entirety that certain Agreement and Plan of Reorganization, dated as of June 25, 2026 (the “</w:t>
      </w:r>
      <w:r>
        <w:rPr>
          <w:rFonts w:ascii="Times New Roman;Times;serif" w:hAnsi="Times New Roman;Times;serif"/>
          <w:color w:val="000000"/>
          <w:sz w:val="18"/>
          <w:u w:val="single"/>
        </w:rPr>
        <w:t>Original Agreement</w:t>
      </w:r>
      <w:r>
        <w:rPr>
          <w:rFonts w:ascii="Times New Roman;Times;serif" w:hAnsi="Times New Roman;Times;serif"/>
          <w:color w:val="000000"/>
          <w:sz w:val="18"/>
        </w:rPr>
        <w:t xml:space="preserve">”), by and among Parent, Merger Sub and the Company. Certain capitalized terms used in this Agreement are defined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RECITALS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A. Pursuant to Section 7.1 of the Original Agreement, Parent, Merger Sub and the Company now desire to amend and restate the Original Agreement in its entirety on the terms and subject to the conditions set forth herein.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B. Each of Parent, Merger Sub and the Company desires to effect the acquisition of the Company by Parent, by means of a statutory merger of Merger Sub with and into the Company, pursuant to which the Company would survive and become a wholly owned Subsidiary of Parent (the “</w:t>
      </w:r>
      <w:r>
        <w:rPr>
          <w:rFonts w:ascii="Times New Roman;Times;serif" w:hAnsi="Times New Roman;Times;serif"/>
          <w:color w:val="000000"/>
          <w:sz w:val="18"/>
          <w:u w:val="single"/>
        </w:rPr>
        <w:t>Merger</w:t>
      </w:r>
      <w:r>
        <w:rPr>
          <w:rFonts w:ascii="Times New Roman;Times;serif" w:hAnsi="Times New Roman;Times;serif"/>
          <w:color w:val="000000"/>
          <w:sz w:val="18"/>
        </w:rPr>
        <w:t xml:space="preserve">”), upon the terms and subject to the conditions of this Agreement and in accordance with the DGCL.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Board has unanimously (i) determined that this Agreement and the transactions contemplated by this Agreement, including the Merger, are fair to and in the best interests of the Company and its stockholders; (ii) approved and declared advisable this Agreement and the transactions contemplated by this Agreement, including the Merger, on the terms and subject to the conditions set forth in this Agreement; (iii) recommended that the Company’s stockholders adopt and approve this Agreement and the transactions contemplated hereby, including the Merger; and (iv) directed that this Agreement be submitted to the Company’s stockholders for adoption at a duly held meeting of such stockholders for such purpose (including any adjournment or postponement thereof).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Parent Board has unanimously (i) determined that this Agreement and the transactions contemplated by this Agreement, including the Merger, are fair to and in the best interests of Parent and its stockholders; and (ii) approved and declared advisable this Agreement and the transactions contemplated by this Agreement, including the Merger, on the terms and subject to the conditions set forth in this 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E. The board of directors of Merger Sub has (i) determined that it is advisable and in the best interests of Merger Sub and its sole stockholder for Merger Sub to enter into this Agreement; (ii) approved and declared advisable this Agreement and the transactions contemplated hereby, including the Merger; and (iii) recommended that its sole stockholder adopt this Agreement. </w:t>
      </w:r>
    </w:p>
    <w:p>
      <w:pPr>
        <w:pStyle w:val="TextBody"/>
        <w:bidi w:val="0"/>
        <w:spacing w:before="41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AGREEMENT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parties to this Agreement, in consideration of the representations, warranties, covenants and agreements set forth herein and for other good and valuable consideration, the receipt and adequacy of which are hereby acknowledged, and intending to be legally bound, agree as follows: </w:t>
      </w:r>
    </w:p>
    <w:p>
      <w:pPr>
        <w:pStyle w:val="TextBody"/>
        <w:bidi w:val="0"/>
        <w:spacing w:before="400" w:after="283"/>
        <w:jc w:val="center"/>
        <w:rPr>
          <w:rFonts w:ascii="Times New Roman;Times;serif" w:hAnsi="Times New Roman;Times;serif"/>
          <w:b/>
          <w:color w:val="000000"/>
          <w:sz w:val="18"/>
        </w:rPr>
      </w:pPr>
      <w:bookmarkStart w:id="209" w:name="tANNXA1"/>
      <w:bookmarkEnd w:id="209"/>
      <w:r>
        <w:rPr>
          <w:rFonts w:ascii="Times New Roman;Times;serif" w:hAnsi="Times New Roman;Times;serif"/>
          <w:b/>
          <w:color w:val="000000"/>
          <w:sz w:val="18"/>
        </w:rPr>
        <w:t xml:space="preserve">ARTICLE 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10" w:name="tANNX11"/>
      <w:bookmarkEnd w:id="210"/>
      <w:r>
        <w:rPr>
          <w:rFonts w:ascii="Times New Roman;Times;serif" w:hAnsi="Times New Roman;Times;serif"/>
          <w:color w:val="000000"/>
          <w:sz w:val="18"/>
        </w:rPr>
        <w:t>1.1 </w:t>
      </w:r>
      <w:r>
        <w:rPr>
          <w:rFonts w:ascii="Times New Roman;Times;serif" w:hAnsi="Times New Roman;Times;serif"/>
          <w:color w:val="000000"/>
          <w:sz w:val="18"/>
          <w:u w:val="single"/>
        </w:rPr>
        <w:t>The Merger</w:t>
      </w:r>
      <w:r>
        <w:rPr>
          <w:rFonts w:ascii="Times New Roman;Times;serif" w:hAnsi="Times New Roman;Times;serif"/>
          <w:color w:val="000000"/>
          <w:sz w:val="18"/>
        </w:rPr>
        <w:t>. At the Effective Time, Merger Sub shall be merged with and into the Company in accordance with the DGCL and upon the terms and subject to the conditions set forth in this Agreement, whereupon the separate existence of Merger Sub shall cease, and the Company shall be the surviving corporation (“</w:t>
      </w:r>
      <w:r>
        <w:rPr>
          <w:rFonts w:ascii="Times New Roman;Times;serif" w:hAnsi="Times New Roman;Times;serif"/>
          <w:color w:val="000000"/>
          <w:sz w:val="18"/>
          <w:u w:val="single"/>
        </w:rPr>
        <w:t>Surviving Corporation</w:t>
      </w:r>
      <w:r>
        <w:rPr>
          <w:rFonts w:ascii="Times New Roman;Times;serif" w:hAnsi="Times New Roman;Times;serif"/>
          <w:color w:val="000000"/>
          <w:sz w:val="18"/>
        </w:rPr>
        <w:t xml:space="preserve">”) in the Merger and a wholly owned Subsidiary of Parent. </w:t>
      </w:r>
    </w:p>
    <w:p>
      <w:pPr>
        <w:pStyle w:val="TextBody"/>
        <w:bidi w:val="0"/>
        <w:spacing w:before="120" w:after="283"/>
        <w:ind w:left="0" w:right="0" w:firstLine="400"/>
        <w:jc w:val="both"/>
        <w:rPr>
          <w:rFonts w:ascii="Times New Roman;Times;serif" w:hAnsi="Times New Roman;Times;serif"/>
          <w:color w:val="000000"/>
          <w:sz w:val="18"/>
        </w:rPr>
      </w:pPr>
      <w:bookmarkStart w:id="211" w:name="tANNX12"/>
      <w:bookmarkEnd w:id="211"/>
      <w:r>
        <w:rPr>
          <w:rFonts w:ascii="Times New Roman;Times;serif" w:hAnsi="Times New Roman;Times;serif"/>
          <w:color w:val="000000"/>
          <w:sz w:val="18"/>
        </w:rPr>
        <w:t>1.2 </w:t>
      </w:r>
      <w:r>
        <w:rPr>
          <w:rFonts w:ascii="Times New Roman;Times;serif" w:hAnsi="Times New Roman;Times;serif"/>
          <w:color w:val="000000"/>
          <w:sz w:val="18"/>
          <w:u w:val="single"/>
        </w:rPr>
        <w:t>Closing</w:t>
      </w:r>
      <w:r>
        <w:rPr>
          <w:rFonts w:ascii="Times New Roman;Times;serif" w:hAnsi="Times New Roman;Times;serif"/>
          <w:color w:val="000000"/>
          <w:sz w:val="18"/>
        </w:rPr>
        <w:t>. The consummation of the Merger (the “</w:t>
      </w:r>
      <w:r>
        <w:rPr>
          <w:rFonts w:ascii="Times New Roman;Times;serif" w:hAnsi="Times New Roman;Times;serif"/>
          <w:color w:val="000000"/>
          <w:sz w:val="18"/>
          <w:u w:val="single"/>
        </w:rPr>
        <w:t>Closing</w:t>
      </w:r>
      <w:r>
        <w:rPr>
          <w:rFonts w:ascii="Times New Roman;Times;serif" w:hAnsi="Times New Roman;Times;serif"/>
          <w:color w:val="000000"/>
          <w:sz w:val="18"/>
        </w:rPr>
        <w:t xml:space="preserve">”) shall be held (a) at the offices of Baker &amp; McKenzie LLP, 600 Hansen Way, Palo Alto, CA 94304, or (b) remotely by exchange of documents and signatures (or their electronic counterparts), in either case unless another place is agreed to in writing by the parties to this Agreement, on a date to be designated jointly by Parent and the Company, which shall be no later than the fifth (5th) Business Day after the satisfaction or, to the extent permitted hereunder and by applicable Legal Requirements, waiver of the last to be satisfied or waived of all conditions to the parties’ respective obligations to effect the Merger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other than those conditions that by their nature are to be satisfied at the Closing, but subject to the satisfaction or waiver of each of such conditions at the Closing, unless another time or date is agreed to in writing by Parent and the Company. The date on which the Closing actually takes place is referred to as the “</w:t>
      </w:r>
      <w:r>
        <w:rPr>
          <w:rFonts w:ascii="Times New Roman;Times;serif" w:hAnsi="Times New Roman;Times;serif"/>
          <w:color w:val="000000"/>
          <w:sz w:val="18"/>
          <w:u w:val="single"/>
        </w:rPr>
        <w:t>Closing Date</w:t>
      </w:r>
      <w:r>
        <w:rPr>
          <w:rFonts w:ascii="Times New Roman;Times;serif" w:hAnsi="Times New Roman;Times;serif"/>
          <w:color w:val="000000"/>
          <w:sz w:val="18"/>
        </w:rPr>
        <w:t>”. Subject to the provisions of this Agreement, at the Closing, the parties shall cause the Merger to be consummated by filing a certificate of merger in requisite and customary form and substance (the “</w:t>
      </w:r>
      <w:r>
        <w:rPr>
          <w:rFonts w:ascii="Times New Roman;Times;serif" w:hAnsi="Times New Roman;Times;serif"/>
          <w:color w:val="000000"/>
          <w:sz w:val="18"/>
          <w:u w:val="single"/>
        </w:rPr>
        <w:t>Certificate of Merger</w:t>
      </w:r>
      <w:r>
        <w:rPr>
          <w:rFonts w:ascii="Times New Roman;Times;serif" w:hAnsi="Times New Roman;Times;serif"/>
          <w:color w:val="000000"/>
          <w:sz w:val="18"/>
        </w:rPr>
        <w:t>”) with the Secretary of State of the State of Delaware (the “</w:t>
      </w:r>
      <w:r>
        <w:rPr>
          <w:rFonts w:ascii="Times New Roman;Times;serif" w:hAnsi="Times New Roman;Times;serif"/>
          <w:color w:val="000000"/>
          <w:sz w:val="18"/>
          <w:u w:val="single"/>
        </w:rPr>
        <w:t>Delaware Secretary</w:t>
      </w:r>
      <w:r>
        <w:rPr>
          <w:rFonts w:ascii="Times New Roman;Times;serif" w:hAnsi="Times New Roman;Times;serif"/>
          <w:color w:val="000000"/>
          <w:sz w:val="18"/>
        </w:rPr>
        <w:t>”) and make all other filings or recordings required by the DGCL in connection with effecting the Merger. The Merger shall become effective on the date and at such time as the Certificate of Merger is filed with the Delaware Secretary or at such later time as may be mutually agreed to in writing by Parent and the Company and specified in the Certificate of Merger (the time at which the Merger becomes effective being referred to in this Agreement as the “</w:t>
      </w:r>
      <w:r>
        <w:rPr>
          <w:rFonts w:ascii="Times New Roman;Times;serif" w:hAnsi="Times New Roman;Times;serif"/>
          <w:color w:val="000000"/>
          <w:sz w:val="18"/>
          <w:u w:val="single"/>
        </w:rPr>
        <w:t>Effective Time</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12" w:name="tANNX13"/>
      <w:bookmarkEnd w:id="212"/>
      <w:r>
        <w:rPr>
          <w:rFonts w:ascii="Times New Roman;Times;serif" w:hAnsi="Times New Roman;Times;serif"/>
          <w:color w:val="000000"/>
          <w:sz w:val="18"/>
        </w:rPr>
        <w:t>1.3 </w:t>
      </w:r>
      <w:r>
        <w:rPr>
          <w:rFonts w:ascii="Times New Roman;Times;serif" w:hAnsi="Times New Roman;Times;serif"/>
          <w:color w:val="000000"/>
          <w:sz w:val="18"/>
          <w:u w:val="single"/>
        </w:rPr>
        <w:t>Certificate of Incorporation and Bylaws</w:t>
      </w:r>
      <w:r>
        <w:rPr>
          <w:rFonts w:ascii="Times New Roman;Times;serif" w:hAnsi="Times New Roman;Times;serif"/>
          <w:color w:val="000000"/>
          <w:sz w:val="18"/>
        </w:rPr>
        <w:t xml:space="preserve">. At the Effective Time, the certificate of incorporation of the Company in effect immediately prior to the Effective Time shall be amended and restated in its entirety to be in the form attached hereto as </w:t>
      </w:r>
      <w:r>
        <w:rPr>
          <w:rFonts w:ascii="Times New Roman;Times;serif" w:hAnsi="Times New Roman;Times;serif"/>
          <w:color w:val="000000"/>
          <w:sz w:val="18"/>
          <w:u w:val="single"/>
        </w:rPr>
        <w:t>Exhibit B</w:t>
      </w:r>
      <w:r>
        <w:rPr>
          <w:rFonts w:ascii="Times New Roman;Times;serif" w:hAnsi="Times New Roman;Times;serif"/>
          <w:color w:val="000000"/>
          <w:sz w:val="18"/>
        </w:rPr>
        <w:t xml:space="preserve">, and subject to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the bylaws of Merger Sub in effect immediately prior to the Effective Time shall be the bylaws of the Surviving Corporation in the Merger, until thereafter amended in accordance with applicable Legal Requirements, except in each case the name of the Surviving Corporation shall be “Synaptics Incorporated”.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3" w:name="ny20081083x2_defm14a_300-annexa_pg5"/>
        <w:bookmarkEnd w:id="2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214" w:name="tANNX14"/>
      <w:bookmarkEnd w:id="214"/>
      <w:r>
        <w:rPr>
          <w:rFonts w:ascii="Times New Roman;Times;serif" w:hAnsi="Times New Roman;Times;serif"/>
          <w:color w:val="000000"/>
          <w:sz w:val="18"/>
        </w:rPr>
        <w:t>1.4 </w:t>
      </w:r>
      <w:r>
        <w:rPr>
          <w:rFonts w:ascii="Times New Roman;Times;serif" w:hAnsi="Times New Roman;Times;serif"/>
          <w:color w:val="000000"/>
          <w:sz w:val="18"/>
          <w:u w:val="single"/>
        </w:rPr>
        <w:t>Directors and Officers</w:t>
      </w:r>
      <w:r>
        <w:rPr>
          <w:rFonts w:ascii="Times New Roman;Times;serif" w:hAnsi="Times New Roman;Times;serif"/>
          <w:color w:val="000000"/>
          <w:sz w:val="18"/>
        </w:rPr>
        <w:t xml:space="preserve">. From and after the Effective Time, until their respective successors are duly elected or appointed and qualified in accordance with applicable Legal Requirements and the Surviving Corporation’s Organizational Documents: (i) the directors of Merger Sub immediately prior to the Effective Time shall be the directors of the Surviving Corporation; and (ii) the officers of Merger Sub immediately prior to the Effective Time shall be the officers of the Surviving Corporation. </w:t>
      </w:r>
    </w:p>
    <w:p>
      <w:pPr>
        <w:pStyle w:val="TextBody"/>
        <w:bidi w:val="0"/>
        <w:spacing w:before="170" w:after="283"/>
        <w:ind w:left="0" w:right="0" w:firstLine="400"/>
        <w:jc w:val="left"/>
        <w:rPr>
          <w:rFonts w:ascii="Times New Roman;Times;serif" w:hAnsi="Times New Roman;Times;serif"/>
          <w:color w:val="000000"/>
          <w:sz w:val="18"/>
        </w:rPr>
      </w:pPr>
      <w:bookmarkStart w:id="215" w:name="tANNX15"/>
      <w:bookmarkEnd w:id="215"/>
      <w:r>
        <w:rPr>
          <w:rFonts w:ascii="Times New Roman;Times;serif" w:hAnsi="Times New Roman;Times;serif"/>
          <w:color w:val="000000"/>
          <w:sz w:val="18"/>
        </w:rPr>
        <w:t>1.5 </w:t>
      </w:r>
      <w:r>
        <w:rPr>
          <w:rFonts w:ascii="Times New Roman;Times;serif" w:hAnsi="Times New Roman;Times;serif"/>
          <w:color w:val="000000"/>
          <w:sz w:val="18"/>
          <w:u w:val="single"/>
        </w:rPr>
        <w:t>Effect on Company Capital Stock</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at the Effective Time, automatically, by virtue of the Merger and without any further action on the part of Parent, Merger Sub, the Company or any stockholder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Effect on Company Common Stock</w:t>
      </w:r>
      <w:r>
        <w:rPr>
          <w:rFonts w:ascii="Times New Roman;Times;serif" w:hAnsi="Times New Roman;Times;serif"/>
          <w:color w:val="000000"/>
          <w:sz w:val="18"/>
        </w:rPr>
        <w:t xml:space="preserve">. Subject to </w:t>
      </w:r>
      <w:r>
        <w:rPr>
          <w:rFonts w:ascii="Times New Roman;Times;serif" w:hAnsi="Times New Roman;Times;serif"/>
          <w:color w:val="000000"/>
          <w:sz w:val="18"/>
          <w:u w:val="single"/>
        </w:rPr>
        <w:t>Section 1.5(c)</w:t>
      </w:r>
      <w:r>
        <w:rPr>
          <w:rFonts w:ascii="Times New Roman;Times;serif" w:hAnsi="Times New Roman;Times;serif"/>
          <w:color w:val="000000"/>
          <w:sz w:val="18"/>
        </w:rPr>
        <w:t>, each share of Company Common Stock issued and outstanding immediately prior to the Effective Time (other than any Cancelled Shares and any Dissenting Shares) shall be converted into the right to receive $123.00 per share in cash, without interest (the “</w:t>
      </w:r>
      <w:r>
        <w:rPr>
          <w:rFonts w:ascii="Times New Roman;Times;serif" w:hAnsi="Times New Roman;Times;serif"/>
          <w:color w:val="000000"/>
          <w:sz w:val="18"/>
          <w:u w:val="single"/>
        </w:rPr>
        <w:t>Merger Consideration</w:t>
      </w:r>
      <w:r>
        <w:rPr>
          <w:rFonts w:ascii="Times New Roman;Times;serif" w:hAnsi="Times New Roman;Times;serif"/>
          <w:color w:val="000000"/>
          <w:sz w:val="18"/>
        </w:rPr>
        <w:t>”). All shares of Company Common Stock, including all uncertificated shares of Company Common Stock represented by book-entry form (“</w:t>
      </w:r>
      <w:r>
        <w:rPr>
          <w:rFonts w:ascii="Times New Roman;Times;serif" w:hAnsi="Times New Roman;Times;serif"/>
          <w:color w:val="000000"/>
          <w:sz w:val="18"/>
          <w:u w:val="single"/>
        </w:rPr>
        <w:t>Company Book-Entry Shares</w:t>
      </w:r>
      <w:r>
        <w:rPr>
          <w:rFonts w:ascii="Times New Roman;Times;serif" w:hAnsi="Times New Roman;Times;serif"/>
          <w:color w:val="000000"/>
          <w:sz w:val="18"/>
        </w:rPr>
        <w:t>”) and each certificate that, immediately prior to the Effective Time, represented any such shares of Company Common Stock (each a “</w:t>
      </w:r>
      <w:r>
        <w:rPr>
          <w:rFonts w:ascii="Times New Roman;Times;serif" w:hAnsi="Times New Roman;Times;serif"/>
          <w:color w:val="000000"/>
          <w:sz w:val="18"/>
          <w:u w:val="single"/>
        </w:rPr>
        <w:t>Company Stock Certificate</w:t>
      </w:r>
      <w:r>
        <w:rPr>
          <w:rFonts w:ascii="Times New Roman;Times;serif" w:hAnsi="Times New Roman;Times;serif"/>
          <w:color w:val="000000"/>
          <w:sz w:val="18"/>
        </w:rPr>
        <w:t xml:space="preserve">”) shall no longer be outstanding and shall automatically be cancelled and shall cease to exist, and each applicable holder of such shares of Company Common Stock shall cease to have any rights with respect thereto, except the right to receive the Merger Consideration upon the surrender of such shares of Company Common Stock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Cancellation of Company Common Stock</w:t>
      </w:r>
      <w:r>
        <w:rPr>
          <w:rFonts w:ascii="Times New Roman;Times;serif" w:hAnsi="Times New Roman;Times;serif"/>
          <w:color w:val="000000"/>
          <w:sz w:val="18"/>
        </w:rPr>
        <w:t>. Each share of Company Common Stock issued and outstanding immediately prior to the Effective Time that is owned or held in the Company’s treasury or by any Company Subsidiary, and each share of Company Common Stock issued and outstanding immediately prior to the Effective Time that is owned by Parent or any Parent Subsidiary (including Merger Sub) immediately prior to the Effective Time, shall be cancelled and shall cease to exist (the “</w:t>
      </w:r>
      <w:r>
        <w:rPr>
          <w:rFonts w:ascii="Times New Roman;Times;serif" w:hAnsi="Times New Roman;Times;serif"/>
          <w:color w:val="000000"/>
          <w:sz w:val="18"/>
          <w:u w:val="single"/>
        </w:rPr>
        <w:t>Cancelled Shares</w:t>
      </w:r>
      <w:r>
        <w:rPr>
          <w:rFonts w:ascii="Times New Roman;Times;serif" w:hAnsi="Times New Roman;Times;serif"/>
          <w:color w:val="000000"/>
          <w:sz w:val="18"/>
        </w:rPr>
        <w:t xml:space="preserve">”), and no consideration shall be paid or payable in respect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Treatment of Equity Interests of Merger Sub</w:t>
      </w:r>
      <w:r>
        <w:rPr>
          <w:rFonts w:ascii="Times New Roman;Times;serif" w:hAnsi="Times New Roman;Times;serif"/>
          <w:color w:val="000000"/>
          <w:sz w:val="18"/>
        </w:rPr>
        <w:t xml:space="preserve">. Subject to the terms and conditions of this Agreement, at the Effective Time, automatically, by virtue of the Merger, each issued and outstanding share of common stock, par value $0.01 per share, of Merger Sub shall be automatically converted into and become one fully paid and non-assessable share of common stock of the Surviving Corporation and shall constitute the only outstanding shares of the Surviving 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Equitable Adjustments</w:t>
      </w:r>
      <w:r>
        <w:rPr>
          <w:rFonts w:ascii="Times New Roman;Times;serif" w:hAnsi="Times New Roman;Times;serif"/>
          <w:color w:val="000000"/>
          <w:sz w:val="18"/>
        </w:rPr>
        <w:t xml:space="preserve">. Notwithstanding anything in this Agreement to the contrary, if, during the period from the date of this Agreement through the Effective Time, the outstanding shares of Company Common Stock are changed or converted into a different number or class or series of shares by reason of any stock split, division, combination, exchange or subdivision of shares, stock dividend (including any dividend or distribution of securities convertible into Company Common Stock), reverse stock split, consolidation of shares, reorganization, reclassification, recapitalization, or other similar transaction or similar change, or a record date with respect to any such event shall occur during such period, then the Merger Consideration (including the Conversion Ratio) and any other similarly dependent items, as the case may be, shall be adjusted, without duplication, to the extent appropriate to provide the same economic effect as contemplated by this Agreement prior to such action. Nothing in this </w:t>
      </w:r>
      <w:r>
        <w:rPr>
          <w:rFonts w:ascii="Times New Roman;Times;serif" w:hAnsi="Times New Roman;Times;serif"/>
          <w:color w:val="000000"/>
          <w:sz w:val="18"/>
          <w:u w:val="single"/>
        </w:rPr>
        <w:t>Section 1.5(c)</w:t>
      </w:r>
      <w:r>
        <w:rPr>
          <w:rFonts w:ascii="Times New Roman;Times;serif" w:hAnsi="Times New Roman;Times;serif"/>
          <w:color w:val="000000"/>
          <w:sz w:val="18"/>
        </w:rPr>
        <w:t xml:space="preserve"> shall be construed to permit the parties to take any action except to the extent consistent with, or not otherwise prohibited by, the terms of this Agreement, including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16" w:name="tANNX16"/>
      <w:bookmarkEnd w:id="216"/>
      <w:r>
        <w:rPr>
          <w:rFonts w:ascii="Times New Roman;Times;serif" w:hAnsi="Times New Roman;Times;serif"/>
          <w:color w:val="000000"/>
          <w:sz w:val="18"/>
        </w:rPr>
        <w:t>1.6 </w:t>
      </w:r>
      <w:r>
        <w:rPr>
          <w:rFonts w:ascii="Times New Roman;Times;serif" w:hAnsi="Times New Roman;Times;serif"/>
          <w:color w:val="000000"/>
          <w:sz w:val="18"/>
          <w:u w:val="single"/>
        </w:rPr>
        <w:t>Treatment of Company Equity Awards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Effect on Company RSUs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RSUs</w:t>
      </w:r>
      <w:r>
        <w:rPr>
          <w:rFonts w:ascii="Times New Roman;Times;serif" w:hAnsi="Times New Roman;Times;serif"/>
          <w:color w:val="000000"/>
          <w:sz w:val="18"/>
        </w:rPr>
        <w:t>. Each Company RSU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RSU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RSU shall continue to have and be subject to the same terms and conditions as were applicable to such Company RSU immediately before the Effective Time (including vesting conditions, including any such conditions arising under any Change of Control Agreement, and accumulated and future dividend equivalent rights), except that (A) each Company Converted RSU shall cover that number of shares of Parent Common Stock equal to the product (rounded to the nearest whole number) of (1) the number of shares of Company Common Stock underlying such Company RSU, and (2) the Conversion Ratio; and (B) each Company Converted RSU shall be subject to such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RSUs</w:t>
      </w:r>
      <w:r>
        <w:rPr>
          <w:rFonts w:ascii="Times New Roman;Times;serif" w:hAnsi="Times New Roman;Times;serif"/>
          <w:color w:val="000000"/>
          <w:sz w:val="18"/>
        </w:rPr>
        <w:t>. Each Company RSU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RSU</w:t>
      </w:r>
      <w:r>
        <w:rPr>
          <w:rFonts w:ascii="Times New Roman;Times;serif" w:hAnsi="Times New Roman;Times;serif"/>
          <w:color w:val="000000"/>
          <w:sz w:val="18"/>
        </w:rPr>
        <w:t>”), shall be cancelled, with the former holder of such cancelled Company Accelerated RSU becoming entitled to receive an amount of Merger Consideration equal to the product of (x) the per-share Merger Consideration multiplied by (y) the applicable number of shares of Company Common Stock subject to such Company Accelerated RSU after giving effect to any accumulated dividend equivalent rights (the “</w:t>
      </w:r>
      <w:r>
        <w:rPr>
          <w:rFonts w:ascii="Times New Roman;Times;serif" w:hAnsi="Times New Roman;Times;serif"/>
          <w:color w:val="000000"/>
          <w:sz w:val="18"/>
          <w:u w:val="single"/>
        </w:rPr>
        <w:t>Company Accelerated RSU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RSU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7" w:name="ny20081083x2_defm14a_300-annexa_pg6"/>
        <w:bookmarkEnd w:id="2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Payment to the holder of a Company Accelerated RSU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RSU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Effect on Company PSUs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PSUs</w:t>
      </w:r>
      <w:r>
        <w:rPr>
          <w:rFonts w:ascii="Times New Roman;Times;serif" w:hAnsi="Times New Roman;Times;serif"/>
          <w:color w:val="000000"/>
          <w:sz w:val="18"/>
        </w:rPr>
        <w:t>. Each Company PSU that is outstanding but not vested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PSU</w:t>
      </w:r>
      <w:r>
        <w:rPr>
          <w:rFonts w:ascii="Times New Roman;Times;serif" w:hAnsi="Times New Roman;Times;serif"/>
          <w:color w:val="000000"/>
          <w:sz w:val="18"/>
        </w:rPr>
        <w:t>”), shall be assumed by Parent and converted into a performance-based stock unit award denominated in shares of Parent Common Stock as set forth herein. Each Company Converted PSU shall continue to have and be subject to the same terms and conditions as were applicable to such Company PSU immediately before the Effective Time (including time-based vesting conditions, including any such conditions arising under any Change of Control Agreement, and accumulated and future dividend equivalent rights), except that (A) each Company Converted PSU shall cover that number of shares of Parent Common Stock equal to the product (rounded to the nearest whole number) of (1) the number of shares of Company Common Stock underlying such Company PSU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for purposes of determining the applicable number of shares of Company Common Stock that are subject to such Company Converted PSU, the performance conditions for such Company PSU for which such performance period has not yet closed will be deemed satisfied at target level, as determined under the relevant Company Equity Award terms), and (2) the Conversion Ratio; (B) the applicable performance-based vesting conditions for each such Company PSU will be deemed satisfied at target level as of immediately prior to the Effective Time, and the Company Converted PSUs shall be subject to only the time-based vesting conditions set forth in the applicable Company Equity Agreement; and (C) each Company Converted PSU shall be subject to such other terms and conditions that become operative and applicable pursuant to its terms in connection with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PSUs</w:t>
      </w:r>
      <w:r>
        <w:rPr>
          <w:rFonts w:ascii="Times New Roman;Times;serif" w:hAnsi="Times New Roman;Times;serif"/>
          <w:color w:val="000000"/>
          <w:sz w:val="18"/>
        </w:rPr>
        <w:t>. Each Company PSU that is outstanding as of immediately prior to the Effective Time and that (A) is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PSU</w:t>
      </w:r>
      <w:r>
        <w:rPr>
          <w:rFonts w:ascii="Times New Roman;Times;serif" w:hAnsi="Times New Roman;Times;serif"/>
          <w:color w:val="000000"/>
          <w:sz w:val="18"/>
        </w:rPr>
        <w:t>”), shall be cancelled, with the former holder of such cancelled Company Accelerated PSU becoming entitled to receive an amount of Merger Consideration equal to the product of (x) the per-share Merger Consideration multiplied by (y) the applicable number of shares of Company Common Stock subject to such Company Accelerated PSU determined as if the performance conditions for such Company PSU for which such performance period has not yet closed are satisfied at target level as determined under the relevant Company Equity Award terms and after giving effect to any accumulated dividend equivalent rights (the “</w:t>
      </w:r>
      <w:r>
        <w:rPr>
          <w:rFonts w:ascii="Times New Roman;Times;serif" w:hAnsi="Times New Roman;Times;serif"/>
          <w:color w:val="000000"/>
          <w:sz w:val="18"/>
          <w:u w:val="single"/>
        </w:rPr>
        <w:t>Company Accelerated PSU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PSU Payment to the holder of a Company Accelerated PSU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PSU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Effect on Company MSUs</w:t>
      </w:r>
      <w:r>
        <w:rPr>
          <w:rFonts w:ascii="Times New Roman;Times;serif" w:hAnsi="Times New Roman;Times;serif"/>
          <w:color w:val="000000"/>
          <w:sz w:val="18"/>
        </w:rPr>
        <w:t xml:space="preserve">. Effective as of the Effective Time, and without any action on the part of Parent, Merger Sub, the Company or the holder thereof, other than the Company delivering any notices required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w:t>
      </w:r>
      <w:r>
        <w:rPr>
          <w:rFonts w:ascii="Times New Roman;Times;serif" w:hAnsi="Times New Roman;Times;serif"/>
          <w:color w:val="000000"/>
          <w:sz w:val="18"/>
          <w:u w:val="single"/>
        </w:rPr>
        <w:t>Converted MSUs</w:t>
      </w:r>
      <w:r>
        <w:rPr>
          <w:rFonts w:ascii="Times New Roman;Times;serif" w:hAnsi="Times New Roman;Times;serif"/>
          <w:color w:val="000000"/>
          <w:sz w:val="18"/>
        </w:rPr>
        <w:t>. Each Non-Vested MSU that is outstanding as of immediately prior to the Effective Time and that is held by an individual who, as of immediately after the Effective Time, constitutes an “employee” of Parent within the meaning of Form S-8 (each, a “</w:t>
      </w:r>
      <w:r>
        <w:rPr>
          <w:rFonts w:ascii="Times New Roman;Times;serif" w:hAnsi="Times New Roman;Times;serif"/>
          <w:color w:val="000000"/>
          <w:sz w:val="18"/>
          <w:u w:val="single"/>
        </w:rPr>
        <w:t>Company Converted MSU</w:t>
      </w:r>
      <w:r>
        <w:rPr>
          <w:rFonts w:ascii="Times New Roman;Times;serif" w:hAnsi="Times New Roman;Times;serif"/>
          <w:color w:val="000000"/>
          <w:sz w:val="18"/>
        </w:rPr>
        <w:t xml:space="preserve">”), shall be assumed by Parent and converted into a restricted stock unit award denominated in shares of Parent Common Stock (as set forth herein). Each Company Converted MSU shall continue to have and be subject to the same terms and conditions as were applicable to such Company MSU immediately before the Effective Time (including time-based vesting conditions, including any such conditions arising under any Change of Control Agreement, and accumulated and future dividend equivalent rights), except that (A) each Company Converted MSU shall cover that number of shares of Parent Common Stock equal to the product (rounded to the nearest whole number) of (1) the number of shares of Company Common Stock underlying such Company MSU, with such number determined based on actual performance of the performance conditions applicable to such Company MSU as of immediately before the Effective Time, as determined under the relevant Company Equity Award terms, and (2) the Conversion Ratio; and (B) each Company Converted MSU shall be subject to such other terms and conditions that become operative and applicable pursuant to its terms in connection with the Closing. If for any reason, a Non-Vested MSU is not converted to a Company Converted MSU, it shall be considered a Company Accelerated MSU.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w:t>
      </w:r>
      <w:r>
        <w:rPr>
          <w:rFonts w:ascii="Times New Roman;Times;serif" w:hAnsi="Times New Roman;Times;serif"/>
          <w:color w:val="000000"/>
          <w:sz w:val="18"/>
          <w:u w:val="single"/>
        </w:rPr>
        <w:t>Accelerated MSUs</w:t>
      </w:r>
      <w:r>
        <w:rPr>
          <w:rFonts w:ascii="Times New Roman;Times;serif" w:hAnsi="Times New Roman;Times;serif"/>
          <w:color w:val="000000"/>
          <w:sz w:val="18"/>
        </w:rPr>
        <w:t>. Each Company MSU that is outstanding as of immediately prior to the Effective Time and that is (A) vested but not yet settled as of immediately prior to the Effective Time, (B) by its terms becomes vested in connection with the Closing or (C) is held by a non-employee member of the Company Board as of immediately prior to the Effective Time (each, a “</w:t>
      </w:r>
      <w:r>
        <w:rPr>
          <w:rFonts w:ascii="Times New Roman;Times;serif" w:hAnsi="Times New Roman;Times;serif"/>
          <w:color w:val="000000"/>
          <w:sz w:val="18"/>
          <w:u w:val="single"/>
        </w:rPr>
        <w:t>Company Accelerated MSU</w:t>
      </w:r>
      <w:r>
        <w:rPr>
          <w:rFonts w:ascii="Times New Roman;Times;serif" w:hAnsi="Times New Roman;Times;serif"/>
          <w:color w:val="000000"/>
          <w:sz w:val="18"/>
        </w:rPr>
        <w:t xml:space="preserve">”), shall be cancelled, with the former holder of such cancelled Company Accelerated MSU becoming entitled to receive an amount of Merger Consideration equal to the product of (x) the per-share Merger Consideration multiplied by (y) the applicable number of shares of Company Common Stock subject to such Company Accelerated MSU with such number determined based on actual performance of the performance conditions applicable to such Company MSU as of immediately before the Effective Time, as determined under the relevant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18" w:name="ny20081083x2_defm14a_300-annexa_pg7"/>
        <w:bookmarkEnd w:id="21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Company Equity Award terms, after giving effect to any accumulated dividend equivalent rights (the “</w:t>
      </w:r>
      <w:r>
        <w:rPr>
          <w:rFonts w:ascii="Times New Roman;Times;serif" w:hAnsi="Times New Roman;Times;serif"/>
          <w:color w:val="000000"/>
          <w:sz w:val="18"/>
          <w:u w:val="single"/>
        </w:rPr>
        <w:t>Company Accelerated MSU Payment</w:t>
      </w:r>
      <w:r>
        <w:rPr>
          <w:rFonts w:ascii="Times New Roman;Times;serif" w:hAnsi="Times New Roman;Times;serif"/>
          <w:color w:val="000000"/>
          <w:sz w:val="18"/>
        </w:rPr>
        <w:t xml:space="preserve">”) no later than the Surviving Corporation’s next payroll date immediately following the Closing Date (but in no event later than five (5) Business Days after the Closing Date). The payment of the Company Accelerated MSU Payment to the holder of a Company Accelerated MSU shall be reduced by any applicable Tax withholding as contemplated in </w:t>
      </w:r>
      <w:r>
        <w:rPr>
          <w:rFonts w:ascii="Times New Roman;Times;serif" w:hAnsi="Times New Roman;Times;serif"/>
          <w:color w:val="000000"/>
          <w:sz w:val="18"/>
          <w:u w:val="single"/>
        </w:rPr>
        <w:t>Section 1.9</w:t>
      </w:r>
      <w:r>
        <w:rPr>
          <w:rFonts w:ascii="Times New Roman;Times;serif" w:hAnsi="Times New Roman;Times;serif"/>
          <w:color w:val="000000"/>
          <w:sz w:val="18"/>
        </w:rPr>
        <w:t xml:space="preserve">;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applicable Taxes required to be withheld from the Company Accelerated MSU Payment shall be promptly remitted by the Surviving Corporation in cash to the applicable Governmental Entity.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Company Actions.</w:t>
      </w:r>
      <w:r>
        <w:rPr>
          <w:rFonts w:ascii="Times New Roman;Times;serif" w:hAnsi="Times New Roman;Times;serif"/>
          <w:color w:val="000000"/>
          <w:sz w:val="18"/>
        </w:rPr>
        <w:t xml:space="preserve"> Prior to the Effective Time, the Company, the Company Board or an applicable committee thereof, as applicable, will adopt any resolutions and take any actions within its authority as it deems reasonably necessary to give effect to the transactions contemplated by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including (i) providing notice to each holder of a Company RSU, Company PSU or Company MSU, as applicable, in a form reasonably acceptable to Parent of the treatment of the Company RSUs, Company PSUs or Company MSUs set forth in this Agreement and (ii) satisfying all applicable requirements of Rule 16b-3 promulgated under the Exchange Act. The Company will provide Parent with drafts of, and a reasonable opportunity to review and comment upon (and Parent’s review and delivery of comments will occur promptly after the Company provides Parent with such drafts and the Company’s acceptance of Parent’s reasonable comments will not be unreasonably withheld), all notices, resolutions and other written actions or communications as may be required to give effect to the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The Company hereby represents, acknowledges and agrees that the treatment of, and transactions contemplated with respect to, Company RSUs, Company PSUs and Company MSUs, as set forth in </w:t>
      </w:r>
      <w:r>
        <w:rPr>
          <w:rFonts w:ascii="Times New Roman;Times;serif" w:hAnsi="Times New Roman;Times;serif"/>
          <w:color w:val="000000"/>
          <w:sz w:val="18"/>
          <w:u w:val="single"/>
        </w:rPr>
        <w:t>Section 1.6(a)(i)</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1.6(b)(i)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1.6(c)(i)</w:t>
      </w:r>
      <w:r>
        <w:rPr>
          <w:rFonts w:ascii="Times New Roman;Times;serif" w:hAnsi="Times New Roman;Times;serif"/>
          <w:color w:val="000000"/>
          <w:sz w:val="18"/>
        </w:rPr>
        <w:t xml:space="preserve"> and the Agreement otherwise, shall constitute the grant by Parent of “Replacement Awards” for all purposes under the Company Equity Agreements, and neither the Company Board nor any committee thereof shall make any determination otherwise at any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w:t>
      </w:r>
      <w:r>
        <w:rPr>
          <w:rFonts w:ascii="Times New Roman;Times;serif" w:hAnsi="Times New Roman;Times;serif"/>
          <w:color w:val="000000"/>
          <w:sz w:val="18"/>
          <w:u w:val="single"/>
        </w:rPr>
        <w:t>Non-U.S. Grantees</w:t>
      </w:r>
      <w:r>
        <w:rPr>
          <w:rFonts w:ascii="Times New Roman;Times;serif" w:hAnsi="Times New Roman;Times;serif"/>
          <w:color w:val="000000"/>
          <w:sz w:val="18"/>
        </w:rPr>
        <w:t xml:space="preserve">. If the treatment of a non-U.S. grantee’s Company RSU, Company PSU or Company MSU specified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would otherwise be prohibited, subject to onerous regulatory requirements, or subject to adverse tax treatment under the laws of the applicable jurisdiction (as reasonably determined by Parent following consultation with the Company), then, if reasonably determined by Parent to be practicable and not likely to result in the imposition of adverse tax treatment or onerous regulatory requirements, the applicable provisions of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shall not apply, and Parent shall provide compensation to the holder of such Company RSU, Company PSU or Company MSU that is equivalent in value to the value described in this </w:t>
      </w:r>
      <w:r>
        <w:rPr>
          <w:rFonts w:ascii="Times New Roman;Times;serif" w:hAnsi="Times New Roman;Times;serif"/>
          <w:color w:val="000000"/>
          <w:sz w:val="18"/>
          <w:u w:val="single"/>
        </w:rPr>
        <w:t>Section 1.6</w:t>
      </w:r>
      <w:r>
        <w:rPr>
          <w:rFonts w:ascii="Times New Roman;Times;serif" w:hAnsi="Times New Roman;Times;serif"/>
          <w:color w:val="000000"/>
          <w:sz w:val="18"/>
        </w:rPr>
        <w:t xml:space="preserve"> (i.e., an amount of Merger Consideration equal to the product of (x) the per-share Merger Consideration multiplied by (y) the applicable number of shares of Company Common Stock subject to the relevant awards), in the form of a cash payment which will be reduced by any applicable Taxes or a new equity award, as reasonably determined by Parent in consultation with the Company;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any such compensation provided to the holder of any such Company RSU, Company PSU or Company MSU shall be considered a “Replacement Award” for purposes of the Company Equity Agreements.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w:t>
      </w:r>
      <w:r>
        <w:rPr>
          <w:rFonts w:ascii="Times New Roman;Times;serif" w:hAnsi="Times New Roman;Times;serif"/>
          <w:color w:val="000000"/>
          <w:sz w:val="18"/>
          <w:u w:val="single"/>
        </w:rPr>
        <w:t>Form S-8</w:t>
      </w:r>
      <w:r>
        <w:rPr>
          <w:rFonts w:ascii="Times New Roman;Times;serif" w:hAnsi="Times New Roman;Times;serif"/>
          <w:color w:val="000000"/>
          <w:sz w:val="18"/>
        </w:rPr>
        <w:t xml:space="preserve">. Parent shall take all corporate action necessary to reserve for issuance a sufficient number of shares of Parent Common Stock for delivery with respect to all Company Converted RSUs, Company Converted PSUs and Company Converted MSUs. Parent shall file on the Closing Date a registration statement under the Securities Act on Form S-8 or other appropriate form under the Securities Act, relating to shares of Parent Common Stock issuable with respect to all Company Converted RSUs, Company Converted PSUs and Company Converted MSUs, and Parent shall use its reasonable best efforts to cause such registration statement to remain in effect for so long as such Company Converted RSUs, Company Converted PSUs and Company Converted MSUs remain outstanding. </w:t>
      </w:r>
    </w:p>
    <w:p>
      <w:pPr>
        <w:pStyle w:val="TextBody"/>
        <w:bidi w:val="0"/>
        <w:spacing w:before="160" w:after="283"/>
        <w:ind w:left="0" w:right="0" w:firstLine="400"/>
        <w:jc w:val="left"/>
        <w:rPr>
          <w:rFonts w:ascii="Times New Roman;Times;serif" w:hAnsi="Times New Roman;Times;serif"/>
          <w:color w:val="000000"/>
          <w:sz w:val="18"/>
        </w:rPr>
      </w:pPr>
      <w:bookmarkStart w:id="219" w:name="tANNX17"/>
      <w:bookmarkEnd w:id="219"/>
      <w:r>
        <w:rPr>
          <w:rFonts w:ascii="Times New Roman;Times;serif" w:hAnsi="Times New Roman;Times;serif"/>
          <w:color w:val="000000"/>
          <w:sz w:val="18"/>
        </w:rPr>
        <w:t>1.7 </w:t>
      </w:r>
      <w:r>
        <w:rPr>
          <w:rFonts w:ascii="Times New Roman;Times;serif" w:hAnsi="Times New Roman;Times;serif"/>
          <w:color w:val="000000"/>
          <w:sz w:val="18"/>
          <w:u w:val="single"/>
        </w:rPr>
        <w:t>Exchange of Certificates and Cancellation of Book-Entry Positions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(a) Prior to the Closing Date, Parent shall select Parent’s transfer agent or (after consultation with the Company) another reputable bank or trust company reasonably satisfactory to Parent and the Company to act as exchange agent with respect to the Merger (the “</w:t>
      </w:r>
      <w:r>
        <w:rPr>
          <w:rFonts w:ascii="Times New Roman;Times;serif" w:hAnsi="Times New Roman;Times;serif"/>
          <w:color w:val="000000"/>
          <w:sz w:val="18"/>
          <w:u w:val="single"/>
        </w:rPr>
        <w:t>Exchange Agent</w:t>
      </w:r>
      <w:r>
        <w:rPr>
          <w:rFonts w:ascii="Times New Roman;Times;serif" w:hAnsi="Times New Roman;Times;serif"/>
          <w:color w:val="000000"/>
          <w:sz w:val="18"/>
        </w:rPr>
        <w:t xml:space="preserve">”). Prior to or concurrent with the Effective Time, Parent shall cause to be deposited with the Exchange Agent cash sufficient to pay the aggregate Merger Consideration payable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The cash amounts so deposited with the Exchange Agent pursuant to this </w:t>
      </w:r>
      <w:r>
        <w:rPr>
          <w:rFonts w:ascii="Times New Roman;Times;serif" w:hAnsi="Times New Roman;Times;serif"/>
          <w:color w:val="000000"/>
          <w:sz w:val="18"/>
          <w:u w:val="single"/>
        </w:rPr>
        <w:t>Section 1.7(a)</w:t>
      </w:r>
      <w:r>
        <w:rPr>
          <w:rFonts w:ascii="Times New Roman;Times;serif" w:hAnsi="Times New Roman;Times;serif"/>
          <w:color w:val="000000"/>
          <w:sz w:val="18"/>
        </w:rPr>
        <w:t xml:space="preserve"> together with any interest or other income with respect to such cash amount, are referred to collectively as the “</w:t>
      </w:r>
      <w:r>
        <w:rPr>
          <w:rFonts w:ascii="Times New Roman;Times;serif" w:hAnsi="Times New Roman;Times;serif"/>
          <w:color w:val="000000"/>
          <w:sz w:val="18"/>
          <w:u w:val="single"/>
        </w:rPr>
        <w:t>Exchange Fund</w:t>
      </w:r>
      <w:r>
        <w:rPr>
          <w:rFonts w:ascii="Times New Roman;Times;serif" w:hAnsi="Times New Roman;Times;serif"/>
          <w:color w:val="000000"/>
          <w:sz w:val="18"/>
        </w:rPr>
        <w:t xml:space="preserve">”. The Exchange Agent shall invest the cash available in the Exchange Fund in obligations, funds or accounts typical for (including having liquidity typical for) transactions of this nature as may be directed by Parent; </w:t>
      </w:r>
      <w:r>
        <w:rPr>
          <w:rFonts w:ascii="Times New Roman;Times;serif" w:hAnsi="Times New Roman;Times;serif"/>
          <w:i/>
          <w:color w:val="000000"/>
          <w:sz w:val="18"/>
        </w:rPr>
        <w:t>provided, that</w:t>
      </w:r>
      <w:r>
        <w:rPr>
          <w:rFonts w:ascii="Times New Roman;Times;serif" w:hAnsi="Times New Roman;Times;serif"/>
          <w:color w:val="000000"/>
          <w:sz w:val="18"/>
        </w:rPr>
        <w:t xml:space="preserve">, no losses on such investments shall affect the cash payable to former holders of shares of Company Common Stock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(and Parent shall promptly deliver to the Exchange Agent cash in an amount sufficient to replenish any deficiency in the Exchange Fund).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(b) As soon as reasonably practicable, and in any event within five (5) Business Days after the Effective Time, Parent shall instruct the Exchange Agent to send to each holder of record of shares of Company Common Stock (other than shares held through The Depository Trust Company (“</w:t>
      </w:r>
      <w:r>
        <w:rPr>
          <w:rFonts w:ascii="Times New Roman;Times;serif" w:hAnsi="Times New Roman;Times;serif"/>
          <w:color w:val="000000"/>
          <w:sz w:val="18"/>
          <w:u w:val="single"/>
        </w:rPr>
        <w:t>DTC</w:t>
      </w:r>
      <w:r>
        <w:rPr>
          <w:rFonts w:ascii="Times New Roman;Times;serif" w:hAnsi="Times New Roman;Times;serif"/>
          <w:color w:val="000000"/>
          <w:sz w:val="18"/>
        </w:rPr>
        <w:t xml:space="preserve">”) or any other similar book-entry transfer facility) whose shares of Company Common Stock were converted pursuant to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into the right to receive the Merger Consideration (i) a letter of transmittal, which shall specify that delivery shall be effected, and risk of loss and title to the Company Stock Certificates shall pass, only upon delivery of the Company Stock Certificates (or affidavits of loss in lieu thereof) to the Exchange Agent and shall be in such form reasonably acceptable to each of Parent and the Company (the “</w:t>
      </w:r>
      <w:r>
        <w:rPr>
          <w:rFonts w:ascii="Times New Roman;Times;serif" w:hAnsi="Times New Roman;Times;serif"/>
          <w:color w:val="000000"/>
          <w:sz w:val="18"/>
          <w:u w:val="single"/>
        </w:rPr>
        <w:t>Letter of Transmittal</w:t>
      </w:r>
      <w:r>
        <w:rPr>
          <w:rFonts w:ascii="Times New Roman;Times;serif" w:hAnsi="Times New Roman;Times;serif"/>
          <w:color w:val="000000"/>
          <w:sz w:val="18"/>
        </w:rPr>
        <w:t xml:space="preserve">”) and (ii) instructions for use in effecting the surrender of Company Stock Certificates (or affidavits of loss in lieu thereof) in exchange for the Merger Consideration. With respect to Company Book-Entry Shares held through DTC or any other similar book-entry transfer facility, Parent shall instruct the Exchange Agent to coordinate with DTC or such other book-entry transfer facility to establish procedures for the exchange of such Company Book-Entry Shares for the Merger Consideration in accordance with the customary surrender and book-entry transfer procedures of DTC or such other facility.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(c) Upon (i) surrender of Company Stock Certificates (or affidavits of loss in lieu thereof) to the Exchange Agent together with the Letter of Transmittal, duly completed and validly executed in accordance with the instructions thereto, and such other documents as may customarily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0" w:name="ny20081083x2_defm14a_300-annexa_pg8"/>
        <w:bookmarkEnd w:id="22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 required by the Exchange Agent, or (ii) in the case of Company Book-Entry Shares not held through DTC or any other similar book-entry transfer facility, receipt by the Exchange Agent of an agent’s message in customary form (or such other evidence of transfer as the Exchange Agent may reasonably accept in lieu thereof) in connection with the book-entry transfer of such Company Book-Entry Shares, in each case, the holder of such Company Stock Certificates or Company Book-Entry Shares, shall be entitled to receive in exchange therefor the Merger Consideration into which the shares represented by such Company Stock Certificates or Company Book-Entry Shares have been converted pursuant to this Agreement. With respect to Company Book-Entry Shares held through DTC or any other similar book-entry transfer facility, the holders thereof shall be entitled to receive the Merger Consideration through DTC or such other facility in accordance with its customary procedures, without any requirement to deliver a Letter of Transmittal or surrender any certificate, and Parent shall instruct the Exchange Agent to transmit such amounts to DTC or such other facility for allocation to its participants. Parent shall instruct the Exchange Agent to pay such Merger Consideration within five (5) Business Days following the later to occur of (x) the Effective Time or (y) (A) in the case of Company Stock Certificates, the Exchange Agent’s receipt of such Company Stock Certificate (or affidavit of loss in lieu thereof) together with a duly completed and validly executed Letter of Transmittal and all other required documentation, or (B) in the case of Company Book-Entry Shares not held through DTC or any other similar book-entry transfer facility, the Exchange Agent’s receipt of an agent’s message in customary form effecting the book-entry transfer of such shares, or (C) in the case of Company Book-Entry Shares held through DTC or any other similar book-entry transfer facility, the Effective Time, with such payment to be made through DTC or such other facility in accordance with its customary procedures. Each Company Stock Certificate (or affidavit of loss in lieu thereof) so surrendered shall be cancelled upon payment of the applicable Merger Consideration. In the event of a transfer of ownership of shares of Company Common Stock that is not registered in the transfer or stock records of the Company, any cash to be paid upon due surrender of the Company Stock Certificate or Company Book-Entry Share formerly representing such shares of Company Common Stock shall be paid to such a transferee if such Company Stock Certificate or Company Book-Entry Share is presented to the Exchange Agent, accompanied by all documents reasonably required to evidence and effect such transfer and to evidence to the reasonable satisfaction of the Exchange Agent and Parent that any applicable stock transfer or other similar Taxes have been paid or are not applicable. No interest shall be paid or shall accrue on the cash payable upon surrender of any Company Stock Certificate or Company Book-Entry Share. Until surrendered as contemplated by this </w:t>
      </w:r>
      <w:r>
        <w:rPr>
          <w:rFonts w:ascii="Times New Roman;Times;serif" w:hAnsi="Times New Roman;Times;serif"/>
          <w:color w:val="000000"/>
          <w:sz w:val="18"/>
          <w:u w:val="single"/>
        </w:rPr>
        <w:t>Section 1.7(c)</w:t>
      </w:r>
      <w:r>
        <w:rPr>
          <w:rFonts w:ascii="Times New Roman;Times;serif" w:hAnsi="Times New Roman;Times;serif"/>
          <w:color w:val="000000"/>
          <w:sz w:val="18"/>
        </w:rPr>
        <w:t xml:space="preserve"> each Company Stock Certificate and Company Book-Entry Share shall be deemed at any time after the Effective Time to represent only the right to receive, upon such surrender, the Merger Consideration to which the shares represented by such Company Stock Certificate or Company Book-Entry Share have been converted pursuant to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any Company Stock Certificate shall have been lost, stolen or destroyed, then, upon the making of an affidavit of that fact by the Person claiming such Company Stock Certificate to be lost, stolen or destroyed and, if required by the Exchange Agent, the posting by such Person of a bond in a reasonable and customary amount and upon such terms as may reasonably be required as indemnity against any claim that may be made against it with respect to such Company Stock Certificate, the Exchange Agent will issue in exchange for such lost, stolen or destroyed Company Stock Certificate, the Merger Consideration payable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as if such lost, stolen or destroyed Company Stock Certificate had been surrendered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(e) After the Effective Time, Parent shall cause the Surviving Corporation to pay on the applicable payment date the amount of dividends or other distributions on shares of Company Common Stock that have a record date prior to the Effective Time and a payment date after the Effective Time, such payment to be made to the holders of Company Common Stock on such record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(f) Any portion of the Exchange Fund that remains undistributed to holders of Company Stock Certificates or Company Book-Entry Shares as of the date that is (i) one (1) year after the Effective Time or (ii) such earlier date as may be required to comply with applicable abandoned property, escheat or similar Legal Requirements, shall be delivered to Parent upon demand. Any holders of Company Stock Certificates or Company Book-Entry Shares who have not theretofore surrendered their Company Stock Certificates or Company Book-Entry Shares in accordance with this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shall thereafter be entitled to look to Parent for, and be entitled to receive from Parent, subject to applicable abandoned property, escheat and similar Legal Requirements, the Merger Consideration pursuant to the provisions of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Parent nor the Surviving Corporation shall be liable to any holder or former holder of shares of Company Common Stock or to any other Person with respect to any portion of the Merger Consideration delivered to any public official pursuant to any applicable abandoned property law, escheat law or other similar Legal Requirement. If any Company Stock Certificate or Company Book-Entry Share has not been surrendered prior to the date on which any portion of the Merger Consideration that a holder of such Company Stock Certificate or Company Book-Entry Share has the right to receive pursuant to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such Company Stock Certificate or Company Book-Entry Share would otherwise escheat to or become property of any Governmental Entity, any such cash in respect of such Company Stock Certificate or Company Book-Entry Share shall, to the extent permitted by applicable Legal Requirements, become the property of Parent, free and clear of all claims or interests of any Person previously entitled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Merger Consideration paid in accordance with the terms of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in respect of any shares of Company Common Stock shall be deemed to have been delivered and paid in full satisfaction of all rights pertaining to such shares of Company Common Stock. From and after the Effective Time, (i) all holders of Company Stock Certificates and Company Book-Entry Shares shall cease to have any rights as stockholders of the Company other than the right to receive the Merger Consideration into which the shares represented by such Company Stock Certificates and Company Book-Entry Shares have been converted pursuant to this Agreement upon the surrender of such Company Stock Certificates or Company Book-Entry Shares in accordance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without interest, and (ii) the stock transfer books of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1" w:name="ny20081083x2_defm14a_300-annexa_pg9"/>
        <w:bookmarkEnd w:id="2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shall be closed with respect to all shares of Company Common Stock outstanding immediately prior to the Effective Time. If, after the Effective Time, any Company Stock Certificates or Company Book-Entry Shares formerly representing shares of Company Common Stock are presented to the Surviving Corporation, Parent or the Exchange Agent for any reason, such Company Stock Certificates or Company Book-Entry Shares shall be cancelled and exchanged as provided in this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222" w:name="tANNX18"/>
      <w:bookmarkEnd w:id="222"/>
      <w:r>
        <w:rPr>
          <w:rFonts w:ascii="Times New Roman;Times;serif" w:hAnsi="Times New Roman;Times;serif"/>
          <w:color w:val="000000"/>
          <w:sz w:val="18"/>
        </w:rPr>
        <w:t>1.8 </w:t>
      </w:r>
      <w:r>
        <w:rPr>
          <w:rFonts w:ascii="Times New Roman;Times;serif" w:hAnsi="Times New Roman;Times;serif"/>
          <w:color w:val="000000"/>
          <w:sz w:val="18"/>
          <w:u w:val="single"/>
        </w:rPr>
        <w:t>Further Action</w:t>
      </w:r>
      <w:r>
        <w:rPr>
          <w:rFonts w:ascii="Times New Roman;Times;serif" w:hAnsi="Times New Roman;Times;serif"/>
          <w:color w:val="000000"/>
          <w:sz w:val="18"/>
        </w:rPr>
        <w:t xml:space="preserve">. If, at any time after the Effective Time, Parent or the Surviving Corporation determines that any further action is necessary to carry out the purposes of this Agreement, the officers and directors of Parent shall (in the name of Merger Sub, the Surviving Corporation or otherwise) be fully authorized to take such action. </w:t>
      </w:r>
    </w:p>
    <w:p>
      <w:pPr>
        <w:pStyle w:val="TextBody"/>
        <w:bidi w:val="0"/>
        <w:spacing w:before="120" w:after="283"/>
        <w:ind w:left="0" w:right="0" w:firstLine="400"/>
        <w:jc w:val="both"/>
        <w:rPr>
          <w:rFonts w:ascii="Times New Roman;Times;serif" w:hAnsi="Times New Roman;Times;serif"/>
          <w:color w:val="000000"/>
          <w:sz w:val="18"/>
        </w:rPr>
      </w:pPr>
      <w:bookmarkStart w:id="223" w:name="tANNX19"/>
      <w:bookmarkEnd w:id="223"/>
      <w:r>
        <w:rPr>
          <w:rFonts w:ascii="Times New Roman;Times;serif" w:hAnsi="Times New Roman;Times;serif"/>
          <w:color w:val="000000"/>
          <w:sz w:val="18"/>
        </w:rPr>
        <w:t>1.9 </w:t>
      </w:r>
      <w:r>
        <w:rPr>
          <w:rFonts w:ascii="Times New Roman;Times;serif" w:hAnsi="Times New Roman;Times;serif"/>
          <w:color w:val="000000"/>
          <w:sz w:val="18"/>
          <w:u w:val="single"/>
        </w:rPr>
        <w:t>Tax Withholding</w:t>
      </w:r>
      <w:r>
        <w:rPr>
          <w:rFonts w:ascii="Times New Roman;Times;serif" w:hAnsi="Times New Roman;Times;serif"/>
          <w:color w:val="000000"/>
          <w:sz w:val="18"/>
        </w:rPr>
        <w:t xml:space="preserve">. Each of Parent, the Exchange Agent, Merger Sub, the Company, and the Surviving Corporation, as applicable, shall be entitled to deduct and withhold from any amounts otherwise payable pursuant to this Agreement any amounts as are required to be deducted and withheld with respect to the making of such payment pursuant to the Code or any other applicable Legal Requirement relating to Taxes. To the extent that amounts are so deducted or withheld and, if required, paid over to the appropriate Governmental Entity, such amounts shall be treated for all purposes of this Agreement as having been paid to the Person in respect of which such deduction and withholding were made. </w:t>
      </w:r>
    </w:p>
    <w:p>
      <w:pPr>
        <w:pStyle w:val="TextBody"/>
        <w:bidi w:val="0"/>
        <w:spacing w:before="120" w:after="283"/>
        <w:ind w:left="0" w:right="0" w:firstLine="400"/>
        <w:jc w:val="both"/>
        <w:rPr>
          <w:rFonts w:ascii="Times New Roman;Times;serif" w:hAnsi="Times New Roman;Times;serif"/>
          <w:color w:val="000000"/>
          <w:sz w:val="18"/>
        </w:rPr>
      </w:pPr>
      <w:bookmarkStart w:id="224" w:name="tANNX110"/>
      <w:bookmarkEnd w:id="224"/>
      <w:r>
        <w:rPr>
          <w:rFonts w:ascii="Times New Roman;Times;serif" w:hAnsi="Times New Roman;Times;serif"/>
          <w:color w:val="000000"/>
          <w:sz w:val="18"/>
        </w:rPr>
        <w:t>1.10 </w:t>
      </w:r>
      <w:r>
        <w:rPr>
          <w:rFonts w:ascii="Times New Roman;Times;serif" w:hAnsi="Times New Roman;Times;serif"/>
          <w:color w:val="000000"/>
          <w:sz w:val="18"/>
          <w:u w:val="single"/>
        </w:rPr>
        <w:t>Dissenting Shares</w:t>
      </w:r>
      <w:r>
        <w:rPr>
          <w:rFonts w:ascii="Times New Roman;Times;serif" w:hAnsi="Times New Roman;Times;serif"/>
          <w:color w:val="000000"/>
          <w:sz w:val="18"/>
        </w:rPr>
        <w:t>. Notwithstanding anything in this Agreement to the contrary, shares of Company Common Stock issued and outstanding immediately prior to the Effective Time (other than Cancelled Shares) and held by a holder who has not voted in favor of adoption of this Agreement or consented thereto in writing and who has properly exercised appraisal rights with respect to such shares in accordance with the DGCL (such shares being referred to collectively as the “</w:t>
      </w:r>
      <w:r>
        <w:rPr>
          <w:rFonts w:ascii="Times New Roman;Times;serif" w:hAnsi="Times New Roman;Times;serif"/>
          <w:color w:val="000000"/>
          <w:sz w:val="18"/>
          <w:u w:val="single"/>
        </w:rPr>
        <w:t>Dissenting Shares</w:t>
      </w:r>
      <w:r>
        <w:rPr>
          <w:rFonts w:ascii="Times New Roman;Times;serif" w:hAnsi="Times New Roman;Times;serif"/>
          <w:color w:val="000000"/>
          <w:sz w:val="18"/>
        </w:rPr>
        <w:t xml:space="preserve">” until such time as such holder fails to perfect, withdraws or otherwise loses such holder’s appraisal rights under the DGCL with respect to such shares) shall not be converted into the right to receive the Merger Consideration. At the Effective Time, all Dissenting Shares shall no longer be outstanding and shall be cancelled and cease to exist, and each holder of Dissenting Shares shall cease to have any rights with respect thereto except such rights as are granted by the DGCL to a holder of Dissenting Shares;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if, after the Effective Time, such holder fails to perfect, withdraws or otherwise loses such holder’s right to appraisal pursuant to the DGCL, such shares of Company Common Stock shall be treated as if they had been converted as of the Effective Time into the right to receive the Merger Consideration in accordance with </w:t>
      </w:r>
      <w:r>
        <w:rPr>
          <w:rFonts w:ascii="Times New Roman;Times;serif" w:hAnsi="Times New Roman;Times;serif"/>
          <w:color w:val="000000"/>
          <w:sz w:val="18"/>
          <w:u w:val="single"/>
        </w:rPr>
        <w:t>Section 1.5(a)(i)</w:t>
      </w:r>
      <w:r>
        <w:rPr>
          <w:rFonts w:ascii="Times New Roman;Times;serif" w:hAnsi="Times New Roman;Times;serif"/>
          <w:color w:val="000000"/>
          <w:sz w:val="18"/>
        </w:rPr>
        <w:t xml:space="preserve">, without interest thereon, upon surrender of such Company Stock Certificate formerly representing such share or transfer of such Company Book-Entry Share, as the case may be, in compliance with </w:t>
      </w:r>
      <w:r>
        <w:rPr>
          <w:rFonts w:ascii="Times New Roman;Times;serif" w:hAnsi="Times New Roman;Times;serif"/>
          <w:color w:val="000000"/>
          <w:sz w:val="18"/>
          <w:u w:val="single"/>
        </w:rPr>
        <w:t>Section 1.7</w:t>
      </w:r>
      <w:r>
        <w:rPr>
          <w:rFonts w:ascii="Times New Roman;Times;serif" w:hAnsi="Times New Roman;Times;serif"/>
          <w:color w:val="000000"/>
          <w:sz w:val="18"/>
        </w:rPr>
        <w:t xml:space="preserve">. The Company shall provide Parent prompt written notice of any demands received by the Company for appraisal of shares of Company Common Stock in connection with the Merger, any withdrawal of any such demand and any other demand, notice or instrument delivered to the Company prior to the Effective Time pursuant to the DGCL that relates to such demand, and Parent shall have the opportunity and right to participate in and control all negotiations and proceedings with respect to such demands under the DGCL, in all cases consistent with the obligations of the Company thereunder. Except with the prior written consent of Parent, the Company shall not make any payment with respect to, or offer to settle or settle, any such demands. From and after the Effective Time, a holder of Dissenting Shares shall not be entitled to exercise any of the voting rights or other rights of an equity owner of the Surviving Corporation. </w:t>
      </w:r>
    </w:p>
    <w:p>
      <w:pPr>
        <w:pStyle w:val="TextBody"/>
        <w:bidi w:val="0"/>
        <w:spacing w:before="400" w:after="283"/>
        <w:jc w:val="center"/>
        <w:rPr>
          <w:rFonts w:ascii="Times New Roman;Times;serif" w:hAnsi="Times New Roman;Times;serif"/>
          <w:b/>
          <w:color w:val="000000"/>
          <w:sz w:val="18"/>
        </w:rPr>
      </w:pPr>
      <w:bookmarkStart w:id="225" w:name="tANNXA2"/>
      <w:bookmarkEnd w:id="225"/>
      <w:r>
        <w:rPr>
          <w:rFonts w:ascii="Times New Roman;Times;serif" w:hAnsi="Times New Roman;Times;serif"/>
          <w:b/>
          <w:color w:val="000000"/>
          <w:sz w:val="18"/>
        </w:rPr>
        <w:t xml:space="preserve">ARTICLE 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THE COMPANY</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Company hereby represents and warrants to Parent and Merger Sub that, except (i) as set forth or incorporated by reference in the Company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(it being understood that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not be applicable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w:t>
      </w:r>
      <w:r>
        <w:rPr>
          <w:rFonts w:ascii="Times New Roman;Times;serif" w:hAnsi="Times New Roman;Times;serif"/>
          <w:color w:val="000000"/>
          <w:sz w:val="18"/>
          <w:u w:val="single"/>
        </w:rPr>
        <w:t>2.2(d)</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2.2(e)</w:t>
      </w:r>
      <w:r>
        <w:rPr>
          <w:rFonts w:ascii="Times New Roman;Times;serif" w:hAnsi="Times New Roman;Times;serif"/>
          <w:color w:val="000000"/>
          <w:sz w:val="18"/>
        </w:rPr>
        <w:t xml:space="preserve">),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Parent prior to the execution of this Agreement (the “</w:t>
      </w:r>
      <w:r>
        <w:rPr>
          <w:rFonts w:ascii="Times New Roman;Times;serif" w:hAnsi="Times New Roman;Times;serif"/>
          <w:color w:val="000000"/>
          <w:sz w:val="18"/>
          <w:u w:val="single"/>
        </w:rPr>
        <w:t>Company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26" w:name="tANNX21"/>
      <w:bookmarkEnd w:id="226"/>
      <w:r>
        <w:rPr>
          <w:rFonts w:ascii="Times New Roman;Times;serif" w:hAnsi="Times New Roman;Times;serif"/>
          <w:color w:val="000000"/>
          <w:sz w:val="18"/>
        </w:rPr>
        <w:t>2.1 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is a corporation duly organized, validly existing and in good standing under the laws of the State of Delaware. The Company has the requisite corporate power and authority to own, lease and operate its assets and to carry on its business as it is being conducted as of the date of this Agreement, except as would not have, and would not reasonably be expected to have, individually or in the aggregate, a Company Material Adverse Effect. The Company is duly qualified and is in good standing in each other jurisdiction where the nature of its business makes such qualification necessary, except where such failure to be so qualified or in good standing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the Company, including all amendments thereto. The Organizational Documents of the Company are in full force and effect and the Company is not in material violation of any of the provisions of such Organizational Documents. </w:t>
      </w:r>
    </w:p>
    <w:p>
      <w:pPr>
        <w:pStyle w:val="TextBody"/>
        <w:bidi w:val="0"/>
        <w:spacing w:before="160" w:after="283"/>
        <w:ind w:left="0" w:right="0" w:firstLine="400"/>
        <w:jc w:val="left"/>
        <w:rPr>
          <w:rFonts w:ascii="Times New Roman;Times;serif" w:hAnsi="Times New Roman;Times;serif"/>
          <w:color w:val="000000"/>
          <w:sz w:val="18"/>
        </w:rPr>
      </w:pPr>
      <w:bookmarkStart w:id="227" w:name="tANNX22"/>
      <w:bookmarkEnd w:id="227"/>
      <w:r>
        <w:rPr>
          <w:rFonts w:ascii="Times New Roman;Times;serif" w:hAnsi="Times New Roman;Times;serif"/>
          <w:color w:val="000000"/>
          <w:sz w:val="18"/>
        </w:rPr>
        <w:t>2.2 </w:t>
      </w:r>
      <w:r>
        <w:rPr>
          <w:rFonts w:ascii="Times New Roman;Times;serif" w:hAnsi="Times New Roman;Times;serif"/>
          <w:color w:val="000000"/>
          <w:sz w:val="18"/>
          <w:u w:val="single"/>
        </w:rPr>
        <w:t>Capitalization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authorized capital stock of the Company consists of: (i) 120,000,000 shares of Company Common Stock, of which 39,701,387 shares were issued and outstanding as of September 30, 2026 (the “</w:t>
      </w:r>
      <w:r>
        <w:rPr>
          <w:rFonts w:ascii="Times New Roman;Times;serif" w:hAnsi="Times New Roman;Times;serif"/>
          <w:color w:val="000000"/>
          <w:sz w:val="18"/>
          <w:u w:val="single"/>
        </w:rPr>
        <w:t>Company Capitalization Date</w:t>
      </w:r>
      <w:r>
        <w:rPr>
          <w:rFonts w:ascii="Times New Roman;Times;serif" w:hAnsi="Times New Roman;Times;serif"/>
          <w:color w:val="000000"/>
          <w:sz w:val="18"/>
        </w:rPr>
        <w:t xml:space="preserve">”); and (ii) 10,000,000 shares of preferred stock, par value $0.001 per share, none of which were outstanding as of the Company Capitalization Date. All of the outstanding shares of Company Common Stock have been, and all shares of Company Common Stock reserved for issuance pursuant to the Company Convertible Notes and the Company Equity Agreements will be when issued, duly authorized and validly issued, and are, or will be when issued, fully paid and non-assessable.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28" w:name="ny20081083x2_defm14a_300-annexa_pg10"/>
        <w:bookmarkEnd w:id="2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 of the Company Capitalization Date: (i) no shares of Company Common Stock were subject to issuance pursuant to any outstanding options to purchase shares of Company Common Stock; (ii) 2,742,330 shares of Company Common Stock were subject to issuance pursuant to outstanding Company RSUs, including 2,551,742 Company RSUs issued under the Company Incentive Plan and 190,588 Company RSUs issued under the Company Inducement Plans; (iii) 200,420 shares of Company Common Stock were subject to issuance pursuant to outstanding Company MSUs, assuming all applicable performance conditions with respect to such Company MSUs are satisfied at target levels (and 400,840 shares of Company Common Stock were subject to issuance pursuant to outstanding Company MSUs assuming all applicable performance conditions with respect to such Company MSUs are satisfied at maximum levels), with all such Company MSUs issued under the Company Incentive Plan and the Company Inducement Plans; (iv) 175,566 shares of Company Common Stock were subject to issuance pursuant to outstanding Company PSUs assuming all applicable performance conditions with respect to such Company PSUs are satisfied at target levels (and 322,383 shares of Company Common Stock were subject to issuance pursuant to outstanding Company PSUs assuming all applicable performance conditions with respect to such Company PSUs are satisfied at maximum levels), with all such Company PSUs issued under the Company Incentive Plan and the Company Inducement Plans; (v) 1,629,107 shares of Company Common Stock were reserved for issuance pursuant to the Company ESPP; (vi) 4,513,860 shares of Company Common Stock were reserved for issuance pursuant to the Company Convertible Notes; (vii) 33,287,414 shares of Company Common Stock were held in treasury; (viii) 2,562,235 shares of Company Common Stock were reserved for issuance pursuant to the available share reserves contained in the Company Incentive Plan and the Company Inducement Plans; and (ix) no other shares of capital stock or other voting securities of the Company were issued, reserved for issuance or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the Company’s or any Company Subsidiary’s Organizational Documents or Company Equity Agreements: (i) none of the outstanding shares of Company Common Stock is entitled or subject to any preemptive right, right of repurchase, right of participation or any similar right; (ii) none of the outstanding shares of Company Common Stock is subject to any right of first refusal in favor of the Company or any Company Subsidiary; (iii) other than the Company Convertible Notes, there are no bonds, debentures, notes or other indebtedness of the Company or any Company Subsidiary issued and outstanding having the right to vote (or convertible or exercisable or exchangeable for securities having the right to vote) on any matters on which stockholders of the Company may vote; and (iv) there is no Contract to which the Company is a party relating to the voting or registration of, or restricting any Person from purchasing, selling, pledging or otherwise disposing of (or from granting any option or similar right with respect to), any shares of Company Common Stock. Except as set forth in Company Equity Agreements, the Company is not under any obligation, nor is it bound by any Contract pursuant to which it will become obligated, to repurchase, redeem or otherwise acquire any outstanding shares of Company Common Stock.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set forth in </w:t>
      </w:r>
      <w:r>
        <w:rPr>
          <w:rFonts w:ascii="Times New Roman;Times;serif" w:hAnsi="Times New Roman;Times;serif"/>
          <w:color w:val="000000"/>
          <w:sz w:val="18"/>
          <w:u w:val="single"/>
        </w:rPr>
        <w:t>Section 2.2(b)</w:t>
      </w:r>
      <w:r>
        <w:rPr>
          <w:rFonts w:ascii="Times New Roman;Times;serif" w:hAnsi="Times New Roman;Times;serif"/>
          <w:color w:val="000000"/>
          <w:sz w:val="18"/>
        </w:rPr>
        <w:t xml:space="preserve"> and other than the Company Convertible Notes and the Company Convertible Note Hedge Obligations, as of the Company Capitalization Date there are no: (i) subscription, option, call, warrant or other rights (whether or not currently exercisable) to acquire any shares of the capital stock or other equity interests, restricted stock unit, stock-based performance unit, shares of phantom stock, stock appreciation right, profit participation right or any other right that is linked to, or the value of which is based on or derived from, the value of any shares of capital stock or other equity interest of the Company or any Company Subsidiary, in each case, to which the Company or any Company Subsidiary is a party; (ii) outstanding security, instrument, bond, debenture or note that is or may become convertible into or exchangeable for any shares of the capital stock or other securities of the Company or any Company Subsidiary; or (iii) stockholder rights plan (or similar plan commonly referred to as a “poison pill”) or Contract under which the Company or any Company Subsidiary is or may become obligated to sell or otherwise issue any shares of its capital stock or other equity interest or any other securities.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(e) Since the Company Capitalization Date through the date of this Agreement, the Company has not issued any shares of Company Common Stock or other equity interests of the Company (other than in connection with (i) the settlement or vesting of Company RSUs, Company PSUs or Company MSUs outstanding as of the Company Capitalization Date in accordance with their terms, or (ii) the exercise of purchase rights under the Company ESPP outstanding as of the Company Capitalization Date in accordance with its terms), or granted any Company RSUs, Company PSUs, Company MSUs or other equity or equity-based awards. </w:t>
      </w:r>
    </w:p>
    <w:p>
      <w:pPr>
        <w:pStyle w:val="TextBody"/>
        <w:bidi w:val="0"/>
        <w:spacing w:before="170" w:after="283"/>
        <w:ind w:left="0" w:right="0" w:firstLine="400"/>
        <w:jc w:val="left"/>
        <w:rPr>
          <w:rFonts w:ascii="Times New Roman;Times;serif" w:hAnsi="Times New Roman;Times;serif"/>
          <w:color w:val="000000"/>
          <w:sz w:val="18"/>
        </w:rPr>
      </w:pPr>
      <w:bookmarkStart w:id="229" w:name="tANNX23"/>
      <w:bookmarkEnd w:id="229"/>
      <w:r>
        <w:rPr>
          <w:rFonts w:ascii="Times New Roman;Times;serif" w:hAnsi="Times New Roman;Times;serif"/>
          <w:color w:val="000000"/>
          <w:sz w:val="18"/>
        </w:rPr>
        <w:t>2.3 </w:t>
      </w:r>
      <w:r>
        <w:rPr>
          <w:rFonts w:ascii="Times New Roman;Times;serif" w:hAnsi="Times New Roman;Times;serif"/>
          <w:color w:val="000000"/>
          <w:sz w:val="18"/>
          <w:u w:val="single"/>
        </w:rPr>
        <w:t>Subsidiaries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purposes of this Agreement, “</w:t>
      </w:r>
      <w:r>
        <w:rPr>
          <w:rFonts w:ascii="Times New Roman;Times;serif" w:hAnsi="Times New Roman;Times;serif"/>
          <w:color w:val="000000"/>
          <w:sz w:val="18"/>
          <w:u w:val="single"/>
        </w:rPr>
        <w:t>Significant Company Subsidiary</w:t>
      </w:r>
      <w:r>
        <w:rPr>
          <w:rFonts w:ascii="Times New Roman;Times;serif" w:hAnsi="Times New Roman;Times;serif"/>
          <w:color w:val="000000"/>
          <w:sz w:val="18"/>
        </w:rPr>
        <w:t xml:space="preserve">” shall mean those Company Subsidiaries set forth on Exhibit 21 of the Most Recent Company 10-K and any Subsidiary that is material to the Company. </w:t>
      </w:r>
      <w:r>
        <w:rPr>
          <w:rFonts w:ascii="Times New Roman;Times;serif" w:hAnsi="Times New Roman;Times;serif"/>
          <w:color w:val="000000"/>
          <w:sz w:val="18"/>
          <w:u w:val="single"/>
        </w:rPr>
        <w:t>Section 2.3(a)</w:t>
      </w:r>
      <w:r>
        <w:rPr>
          <w:rFonts w:ascii="Times New Roman;Times;serif" w:hAnsi="Times New Roman;Times;serif"/>
          <w:color w:val="000000"/>
          <w:sz w:val="18"/>
        </w:rPr>
        <w:t xml:space="preserve"> of the Company Disclosure Schedule sets forth a true and complete list, as of the date of this Agreement, of each Significant Company Subsidiary, its jurisdiction of organization and each of its equity holders. Neither the Company nor any Company Subsidiary owns any equity interest or joint venture, partnership or similar interest in any other Entity, other than a Company Subsidiary. Each Significant Company Subsidiary is duly organized, validly existing and (where such concept is recognized under the laws of the jurisdiction in which it is organized) in good standing under the laws of the jurisdiction of its organization and has the requisite corporate or other organizational power and authority to own, lease and operate its assets and to carry on its business as it is being conducted as of the date of this Agreement, except where the failure to be so organized, existing and in good standing or to have such power and authority would not have, and would not reasonably be expected to have, individually or in the aggregate, a Company Material Adverse Effect. Each Significant Company Subsidiary is duly qualified to do business, and (where such concept is recognized under the laws of the jurisdiction in which it is organized) is in good standing, in each other jurisdiction where the nature of its business makes such qualification necessary, except where the failure to be so qualified or in good standing would not have, and would not reasonably be expected to have, individually or in the aggregate, a Company Material Adverse Effect. All of the outstanding shares of capital stock of each Company Subsidiary are duly authorized, validly issued, fully paid and nonassessable and are owned directly or indirectly by the Company free and clear of all Liens, except for restrictions on transfer under applicable securities laws.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0" w:name="ny20081083x2_defm14a_300-annexa_pg11"/>
        <w:bookmarkEnd w:id="23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the Company has made available to Parent copies of the Organizational Documents of each Significant Company Subsidiary. The Organizational Documents of each Significant Company Subsidiary are in full force and effect and, except as would not have, and would not reasonably be expected to have, individually or in the aggregate, a Company Material Adverse Effect, no such Significant Company Subsidiary is in violation of any of the provisions of such Organizational Documents.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set forth in any Company Subsidiary’s Organizational Documents: (i) none of the outstanding capital or other equity interests of any Company Subsidiary is entitled or subject to any preemptive right, right of repurchase, right of participation or any similar right; (ii) none of the outstanding capital or other equity interests of any Company Subsidiary is subject to any right of first refusal in favor of the Company or any Company Subsidiary; (iii) there are no bonds, debentures, notes or other indebtedness of any Company Subsidiary issued and outstanding having the right to vote (or convertible or exercisable or exchangeable for securities having the right to vote) on any matters on which stockholders of a Company Subsidiary may vote; and (iv) there is no Contract to which any Company Subsidiary is a party relating to the voting or registration of, or restricting any Person from purchasing, selling, pledging or otherwise disposing of (or from granting any option or similar right with respect to), any capital or other equity interests of any Company Subsidiary. No Company Subsidiary is under any obligation, nor is any Company Subsidiary bound by any Contract pursuant to which it will become obligated, to repurchase, redeem or otherwise acquire any outstanding capital or other equity interests of any Company Subsidiary or other securities. </w:t>
      </w:r>
    </w:p>
    <w:p>
      <w:pPr>
        <w:pStyle w:val="TextBody"/>
        <w:bidi w:val="0"/>
        <w:spacing w:before="120" w:after="283"/>
        <w:ind w:left="0" w:right="0" w:firstLine="400"/>
        <w:jc w:val="both"/>
        <w:rPr>
          <w:rFonts w:ascii="Times New Roman;Times;serif" w:hAnsi="Times New Roman;Times;serif"/>
          <w:color w:val="000000"/>
          <w:sz w:val="18"/>
        </w:rPr>
      </w:pPr>
      <w:bookmarkStart w:id="231" w:name="tANNX24"/>
      <w:bookmarkEnd w:id="231"/>
      <w:r>
        <w:rPr>
          <w:rFonts w:ascii="Times New Roman;Times;serif" w:hAnsi="Times New Roman;Times;serif"/>
          <w:color w:val="000000"/>
          <w:sz w:val="18"/>
        </w:rPr>
        <w:t>2.4 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The Company has the requisite corporate power and authority under the DGCL and its Organizational Documents to enter into and to perform its obligations under this Agreement and, subject to receipt of the Required Company Stockholder Vote, to consummate the Merger. On or prior to the date hereof, the Company Board has unanimously: (a) duly and validly authorized and approved the execution, the delivery and, subject to the receipt of the Required Company Stockholder Vote, the performance of this Agreement and the consummation of the Merger by the Company; (b) determined that this Agreement and the transactions contemplated by this Agreement, including the Merger, are fair to and in the best interests of the Company and its stockholders; (c) approved and declared advisable this Agreement and the transactions contemplated by this Agreement, including the Merger; and (d) subject to the terms and conditions hereof, directed that this Agreement be submitted to a vote of the Company’s stockholders, recommended that the stockholders of the Company adopt and approve this Agreement and the transactions contemplated hereby, including the Merger (the “</w:t>
      </w:r>
      <w:r>
        <w:rPr>
          <w:rFonts w:ascii="Times New Roman;Times;serif" w:hAnsi="Times New Roman;Times;serif"/>
          <w:color w:val="000000"/>
          <w:sz w:val="18"/>
          <w:u w:val="single"/>
        </w:rPr>
        <w:t>Company Board Recommendation</w:t>
      </w:r>
      <w:r>
        <w:rPr>
          <w:rFonts w:ascii="Times New Roman;Times;serif" w:hAnsi="Times New Roman;Times;serif"/>
          <w:color w:val="000000"/>
          <w:sz w:val="18"/>
        </w:rPr>
        <w:t xml:space="preserve">”), and resolved to include the Company Board Recommendation in the Proxy Statement, subject to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4.5</w:t>
      </w:r>
      <w:r>
        <w:rPr>
          <w:rFonts w:ascii="Times New Roman;Times;serif" w:hAnsi="Times New Roman;Times;serif"/>
          <w:color w:val="000000"/>
          <w:sz w:val="18"/>
        </w:rPr>
        <w:t xml:space="preserve">. The execution and delivery of this Agreement by the Company and the consummation by the Company of the Merger and other transactions contemplated by this Agreement have been duly authorized by all necessary corporate action on the part of the Company Board, and no other corporate proceedings on the part of the Company are necessary to authorize this Agreement, in each case other than, with respect to the consummation of the Merger, the receipt of the Required Company Stockholder Vote and the filing of the Certificate of Merger as required by the DGCL. This Agreement has been duly executed and delivered on behalf of the Company and, assuming the due authorization, execution and delivery of this Agreement on behalf of Parent and Merger Sub, constitutes the valid and binding obligation of the Company, enforceable against the Company in accordance with its terms, subject to the Enforceability Limitations. </w:t>
      </w:r>
    </w:p>
    <w:p>
      <w:pPr>
        <w:pStyle w:val="TextBody"/>
        <w:bidi w:val="0"/>
        <w:spacing w:before="120" w:after="283"/>
        <w:ind w:left="0" w:right="0" w:firstLine="400"/>
        <w:jc w:val="both"/>
        <w:rPr>
          <w:rFonts w:ascii="Times New Roman;Times;serif" w:hAnsi="Times New Roman;Times;serif"/>
          <w:color w:val="000000"/>
          <w:sz w:val="18"/>
        </w:rPr>
      </w:pPr>
      <w:bookmarkStart w:id="232" w:name="tANNX25"/>
      <w:bookmarkEnd w:id="232"/>
      <w:r>
        <w:rPr>
          <w:rFonts w:ascii="Times New Roman;Times;serif" w:hAnsi="Times New Roman;Times;serif"/>
          <w:color w:val="000000"/>
          <w:sz w:val="18"/>
        </w:rPr>
        <w:t>2.5 </w:t>
      </w:r>
      <w:r>
        <w:rPr>
          <w:rFonts w:ascii="Times New Roman;Times;serif" w:hAnsi="Times New Roman;Times;serif"/>
          <w:color w:val="000000"/>
          <w:sz w:val="18"/>
          <w:u w:val="single"/>
        </w:rPr>
        <w:t>Vote Required</w:t>
      </w:r>
      <w:r>
        <w:rPr>
          <w:rFonts w:ascii="Times New Roman;Times;serif" w:hAnsi="Times New Roman;Times;serif"/>
          <w:color w:val="000000"/>
          <w:sz w:val="18"/>
        </w:rPr>
        <w:t>. The adoption of this Agreement and the transactions contemplated hereby, including the Merger, by the affirmative vote of the holders of a majority of the shares of Company Common Stock issued and outstanding on the record date for the Company Stockholder Meeting and entitled to vote on the proposal to adopt this Agreement (the “</w:t>
      </w:r>
      <w:r>
        <w:rPr>
          <w:rFonts w:ascii="Times New Roman;Times;serif" w:hAnsi="Times New Roman;Times;serif"/>
          <w:color w:val="000000"/>
          <w:sz w:val="18"/>
          <w:u w:val="single"/>
        </w:rPr>
        <w:t>Required Company Stockholder Vote</w:t>
      </w:r>
      <w:r>
        <w:rPr>
          <w:rFonts w:ascii="Times New Roman;Times;serif" w:hAnsi="Times New Roman;Times;serif"/>
          <w:color w:val="000000"/>
          <w:sz w:val="18"/>
        </w:rPr>
        <w:t xml:space="preserve">”) is the only vote of the holders of any class or series of the Company’s capital stock necessary under applicable Legal Requirements and the Company’s Organizational Documents to approve or adopt this Agreement or for the Company to consummate the transactions contemplated hereby, including the Merger. </w:t>
      </w:r>
    </w:p>
    <w:p>
      <w:pPr>
        <w:pStyle w:val="TextBody"/>
        <w:bidi w:val="0"/>
        <w:spacing w:before="170" w:after="283"/>
        <w:ind w:left="0" w:right="0" w:firstLine="400"/>
        <w:jc w:val="left"/>
        <w:rPr>
          <w:rFonts w:ascii="Times New Roman;Times;serif" w:hAnsi="Times New Roman;Times;serif"/>
          <w:color w:val="000000"/>
          <w:sz w:val="18"/>
        </w:rPr>
      </w:pPr>
      <w:bookmarkStart w:id="233" w:name="tANNX26"/>
      <w:bookmarkEnd w:id="233"/>
      <w:r>
        <w:rPr>
          <w:rFonts w:ascii="Times New Roman;Times;serif" w:hAnsi="Times New Roman;Times;serif"/>
          <w:color w:val="000000"/>
          <w:sz w:val="18"/>
        </w:rPr>
        <w:t>2.6 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the Company and, assuming receipt of the Required Company Stockholder Vote, the consummation by the Company of the Merger will not: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2.6(b)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the Company or any Company Subsidiary to own or use any assets, result in any violation of or default (with or without notice or lapse of time, or both) under, or give rise to a right of termination, cancellation, first offer, first refusal, modification or acceleration of any obligation or to the loss of a benefit under any Company Material Contract, result in the creation of any Liens of any kind (other than Company Permitted Encumbrances) upon any of the properties, rights or assets of the Company or any Company Subsidiary, or contravene, conflict with or result in a violation of the terms or requirements of, or give any Governmental Entity the right to revoke, withdraw, suspend, cancel, terminate or modify, any Company Permit; 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the Company and the Company Subsidiaries are not required to make any filing, registration, or declaration with, give any notice to, or obtain any consent, Order, license, permit, clearance,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4" w:name="ny20081083x2_defm14a_300-annexa_pg12"/>
        <w:bookmarkEnd w:id="23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waiver or approval from, any Governmental Entity for the execution and delivery of this Agreement by the Company, the performance by the Company of its covenants and obligations hereunder or the consummation by the Company of the Merger, in each case, except as would not have, and would not reasonably be expected to have, individually or in the aggregate, a Company Material Adverse Effect. </w:t>
      </w:r>
    </w:p>
    <w:p>
      <w:pPr>
        <w:pStyle w:val="TextBody"/>
        <w:bidi w:val="0"/>
        <w:spacing w:before="170" w:after="283"/>
        <w:ind w:left="0" w:right="0" w:firstLine="400"/>
        <w:jc w:val="left"/>
        <w:rPr>
          <w:rFonts w:ascii="Times New Roman;Times;serif" w:hAnsi="Times New Roman;Times;serif"/>
          <w:color w:val="000000"/>
          <w:sz w:val="18"/>
        </w:rPr>
      </w:pPr>
      <w:bookmarkStart w:id="235" w:name="tANNX27"/>
      <w:bookmarkEnd w:id="235"/>
      <w:r>
        <w:rPr>
          <w:rFonts w:ascii="Times New Roman;Times;serif" w:hAnsi="Times New Roman;Times;serif"/>
          <w:color w:val="000000"/>
          <w:sz w:val="18"/>
        </w:rPr>
        <w:t>2.7 </w:t>
      </w:r>
      <w:r>
        <w:rPr>
          <w:rFonts w:ascii="Times New Roman;Times;serif" w:hAnsi="Times New Roman;Times;serif"/>
          <w:color w:val="000000"/>
          <w:sz w:val="18"/>
          <w:u w:val="single"/>
        </w:rPr>
        <w:t>Reports; Financial Statements; Internal Controls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(a) All reports, schedules, forms, statements and other documents (including exhibits and all other information incorporated by reference therein) required to be filed or furnished by the Company with the SEC under the Exchange Act or Securities Act since January 1, 2024 (the “</w:t>
      </w:r>
      <w:r>
        <w:rPr>
          <w:rFonts w:ascii="Times New Roman;Times;serif" w:hAnsi="Times New Roman;Times;serif"/>
          <w:color w:val="000000"/>
          <w:sz w:val="18"/>
          <w:u w:val="single"/>
        </w:rPr>
        <w:t>Company SEC Documents</w:t>
      </w:r>
      <w:r>
        <w:rPr>
          <w:rFonts w:ascii="Times New Roman;Times;serif" w:hAnsi="Times New Roman;Times;serif"/>
          <w:color w:val="000000"/>
          <w:sz w:val="18"/>
        </w:rPr>
        <w:t xml:space="preserve">”) have been filed or furnished with the SEC on a timely basis. As of the time it was filed with the SEC (or, if amended or superseded, then on the date of such amended or superseding filing): (i) each of the Company SEC Documents complied in all material respects with the applicable requirements of the Securities Act, the Exchange Act and the Sarbanes-Oxley Act (as the case may be) and the applicable regulations promulgated thereunder and the listing requirements and corporate governance rules and regulations of Nasdaq, each as in effect on the date such Company SEC Document was filed; and (ii) none of the Company SEC Documents contained any untrue statement of a material fact or omitted to state a material fact required to be stated therein or necessary in order to make the statements therein, in light of the circumstances under which they were made, not misleading;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no representation is made as to the accuracy of any financial projections or forward-looking statements or the completeness of any information filed or furnished by the Company to the SEC solely for the purposes of complying with Regulation FD promulgated under the Exchange Act. No Company Subsidiary has been required to file any forms, reports or other documents with the SEC at any time since January 1, 2024. Since January 1, 2024 with respect to each annual report on Form 10-K and each quarterly report on Form 10-Q included in the Company SEC Documents, no principal or chief executive officer or principal or chief financial officer of the Company has failed to make the certifications required of him or her under Section 302 or 906 of the Sarbanes-Oxley Act. As of the date of this Agreement, (i) there are no outstanding or unresolved comments from the SEC with respect to any of the Company SEC Documents and, to the knowledge of the Company, none of the Company SEC Documents is the subject of any ongoing SEC review; and (ii) to the knowledge of the Company, there are no pending or threatened (A) formal or informal investigations of the Company by the SEC or (B) inspections of an audit of the Company’s financial statements by the Public Company Accounting Oversight Board.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financial statements of the Company and its subsidiaries (including any related notes and auditor reports) contained or incorporated by reference in the Company SEC Documents: (i) complied as to form in all material respects with the published rules and regulations of the SEC applicable thereto; (ii) were prepared in accordance with GAAP applied on a consistent basis throughout the periods covered (except as may be indicated in the notes to such financial statements or, in the case of unaudited statements, as permitted by Form 10-Q or any successor form under the Exchange Act, and except that unaudited financial statements may not contain footnotes and are subject to normal and recurring year-end adjustments); and (iii) fairly present, in all material respects, the financial position of the Company and the Company’s consolidated Subsidiaries as of the respective dates thereof and the results of operations and consolidated cash flows of the Company and the Company’s consolidated Subsidiaries for the periods covered thereby subject, with respect to unaudited interim statements, to normal and recurring year-end adjustments and except as indicated in the notes thereto or as permitted by the rules and regulations of the SEC, and except that unaudited financial statements may not contain footnotes.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Company maintains, and at all times since January 1, 2024, has maintained, a system of internal control over financial reporting (as defined in Rules 13a-15(f) and 15d-15(f) under the Exchange Act) which is designed to provide reasonable assurance: (i) that pertain to the maintenance of records that in reasonable detail accurately and fairly reflect the transactions and dispositions of the assets of the Company and the Company Subsidiaries; (ii) that transactions are recorded as necessary to permit preparation of financial statements in conformity with GAAP and that receipts and expenditures are being made only in accordance with general or specific authorizations of management and directors of the Company; and (iii) regarding prevention or timely detection of unauthorized acquisition, use or disposition of the assets of the Company and the Company Subsidiaries that could have a material effect on the financial statements. Since January 1, 2024, to the knowledge of the Company, management of the Company has disclosed to the Company’s auditors and the audit committee of the Company Board (x) any significant deficiencies or material weaknesses in the design and operation of internal controls over financial reporting that is reasonably likely to adversely affect the Company’s ability to record, process, summarize and report financial information and (y) any fraud, whether or not material, that involves management or any other employees who have a significant role in the Company’s internal control over financial reporting, and each such significant deficiency, material weakness and fraud so disclosed to auditors, if any, has been disclosed to Parent prior to the date 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(d) Since January 1, 2024, (i) none of the Company or any Company Subsidiary nor, to the knowledge of the Company, any director or officer of the Company or any Company Subsidiary has received or otherwise had or obtained knowledge of any material complaint, allegation, assertion or claim, whether written or oral, regarding accounting, internal accounting controls or auditing practices, procedures, methodologies or methods of the Company or any Company Subsidiary or any material complaint, allegation, assertion or claim from employees of the Company or any Company Subsidiary regarding questionable accounting or auditing matters with respect to the Company or any Company Subsidiary, and (ii) to the knowledge of the Company, no attorney representing the Company or any Company Subsidiary, whether or not employed by the Company or any Company Subsidiary, has reported evidence of a violation of securities laws, breach of fiduciary duty or similar violation by the Company, any Company Subsidiary or any of their respective officers, directors, employees or agents to the Company Board or any committee thereof, or to the General Counsel or Chief Executive Officer of the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maintains disclosure controls as required by Rule 13a-15 or 15d-15 under the Exchange Act. As of the date hereof, the Company is in compliance with all current listing requirements of the Nasdaq Global Select Market (“</w:t>
      </w:r>
      <w:r>
        <w:rPr>
          <w:rFonts w:ascii="Times New Roman;Times;serif" w:hAnsi="Times New Roman;Times;serif"/>
          <w:color w:val="000000"/>
          <w:sz w:val="18"/>
          <w:u w:val="single"/>
        </w:rPr>
        <w:t>Nasdaq</w:t>
      </w:r>
      <w:r>
        <w:rPr>
          <w:rFonts w:ascii="Times New Roman;Times;serif" w:hAnsi="Times New Roman;Times;serif"/>
          <w:color w:val="000000"/>
          <w:sz w:val="18"/>
        </w:rPr>
        <w:t xml:space="preserve">”), except as would not have, and would not reasonably be expected to have, individually or in the aggregate, a Company Material Adverse Effect.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6" w:name="ny20081083x2_defm14a_300-annexa_pg13"/>
        <w:bookmarkEnd w:id="23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(f) Neither the Company nor any Company Subsidiary is a party to, or has a commitment to effect, enter into or create, any “off-balance sheet arrangement” (as defined in Item 303(b) of Regulation S-K under the Exchange 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any liabilities of a nature or type required by GAAP to be reflected on a consolidated balance sheet of the Company (or disclosed in the notes), whether accrued, absolute, determined, contingent or otherwise and whether due or to become due, except for: (i) liabilities disclosed in the financial statements (including any related notes) contained in the Most Recent Company Balance Sheet; (ii) liabilities incurred in the ordinary course of business since the date of the Most Recent Company Balance Sheet; (iii) liabilities that would not have, or reasonably be expected to have, individually or in the aggregate, a Company Material Adverse Effect; and (iv) liabilities and obligations incurred in connection with the transactions contemplated by this Agreement or otherwise as contemplated by this Agreement, and (v) liabilities owed by one of Company or a Company Subsidiary to another of Company or a Company Subsidiary. </w:t>
      </w:r>
    </w:p>
    <w:p>
      <w:pPr>
        <w:pStyle w:val="TextBody"/>
        <w:bidi w:val="0"/>
        <w:spacing w:before="160" w:after="283"/>
        <w:ind w:left="0" w:right="0" w:firstLine="400"/>
        <w:jc w:val="left"/>
        <w:rPr>
          <w:rFonts w:ascii="Times New Roman;Times;serif" w:hAnsi="Times New Roman;Times;serif"/>
          <w:color w:val="000000"/>
          <w:sz w:val="18"/>
        </w:rPr>
      </w:pPr>
      <w:bookmarkStart w:id="237" w:name="tANNX28"/>
      <w:bookmarkEnd w:id="237"/>
      <w:r>
        <w:rPr>
          <w:rFonts w:ascii="Times New Roman;Times;serif" w:hAnsi="Times New Roman;Times;serif"/>
          <w:color w:val="000000"/>
          <w:sz w:val="18"/>
        </w:rPr>
        <w:t>2.8 </w:t>
      </w:r>
      <w:r>
        <w:rPr>
          <w:rFonts w:ascii="Times New Roman;Times;serif" w:hAnsi="Times New Roman;Times;serif"/>
          <w:color w:val="000000"/>
          <w:sz w:val="18"/>
          <w:u w:val="single"/>
        </w:rPr>
        <w:t>Absence of Certain Changes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(a) Since the date of the Most Recent Company Balance Sheet through the date of this Agreement, there has not been any Effect that has had, or would reasonably be expected to have, individually or in the aggregate, a Company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(b) From the date of the Most Recent Company Balance Sheet to the date of this Agreement, the businesses of the Company and the Company Subsidiaries have been conducted in all material respects in the ordinary course of business consistent with past practice, and neither the Company nor any Company Subsidiary has undertaken any action that, if taken or proposed to be taken after the date of this Agreement, would require Parent’s consent pursuant to </w:t>
      </w:r>
      <w:r>
        <w:rPr>
          <w:rFonts w:ascii="Times New Roman;Times;serif" w:hAnsi="Times New Roman;Times;serif"/>
          <w:color w:val="000000"/>
          <w:sz w:val="18"/>
          <w:u w:val="single"/>
        </w:rPr>
        <w:t>Section 4.2(a)(i)</w:t>
      </w:r>
      <w:r>
        <w:rPr>
          <w:rFonts w:ascii="Times New Roman;Times;serif" w:hAnsi="Times New Roman;Times;serif"/>
          <w:color w:val="000000"/>
          <w:sz w:val="18"/>
        </w:rPr>
        <w:t xml:space="preserve"> (</w:t>
      </w:r>
      <w:r>
        <w:rPr>
          <w:rFonts w:ascii="Times New Roman;Times;serif" w:hAnsi="Times New Roman;Times;serif"/>
          <w:i/>
          <w:color w:val="000000"/>
          <w:sz w:val="18"/>
        </w:rPr>
        <w:t>Amendments to Organizational Documents</w:t>
      </w:r>
      <w:r>
        <w:rPr>
          <w:rFonts w:ascii="Times New Roman;Times;serif" w:hAnsi="Times New Roman;Times;serif"/>
          <w:color w:val="000000"/>
          <w:sz w:val="18"/>
        </w:rPr>
        <w:t xml:space="preserve">), </w:t>
      </w:r>
      <w:r>
        <w:rPr>
          <w:rFonts w:ascii="Times New Roman;Times;serif" w:hAnsi="Times New Roman;Times;serif"/>
          <w:color w:val="000000"/>
          <w:sz w:val="18"/>
          <w:u w:val="single"/>
        </w:rPr>
        <w:t>(ii)</w:t>
      </w:r>
      <w:r>
        <w:rPr>
          <w:rFonts w:ascii="Times New Roman;Times;serif" w:hAnsi="Times New Roman;Times;serif"/>
          <w:color w:val="000000"/>
          <w:sz w:val="18"/>
        </w:rPr>
        <w:t xml:space="preserve"> (</w:t>
      </w:r>
      <w:r>
        <w:rPr>
          <w:rFonts w:ascii="Times New Roman;Times;serif" w:hAnsi="Times New Roman;Times;serif"/>
          <w:i/>
          <w:color w:val="000000"/>
          <w:sz w:val="18"/>
        </w:rPr>
        <w:t>Liquidations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w:t>
      </w:r>
      <w:r>
        <w:rPr>
          <w:rFonts w:ascii="Times New Roman;Times;serif" w:hAnsi="Times New Roman;Times;serif"/>
          <w:i/>
          <w:color w:val="000000"/>
          <w:sz w:val="18"/>
        </w:rPr>
        <w:t>Share Splits</w:t>
      </w:r>
      <w:r>
        <w:rPr>
          <w:rFonts w:ascii="Times New Roman;Times;serif" w:hAnsi="Times New Roman;Times;serif"/>
          <w:color w:val="000000"/>
          <w:sz w:val="18"/>
        </w:rPr>
        <w:t xml:space="preserve">), </w:t>
      </w:r>
      <w:r>
        <w:rPr>
          <w:rFonts w:ascii="Times New Roman;Times;serif" w:hAnsi="Times New Roman;Times;serif"/>
          <w:color w:val="000000"/>
          <w:sz w:val="18"/>
          <w:u w:val="single"/>
        </w:rPr>
        <w:t>(iv)</w:t>
      </w:r>
      <w:r>
        <w:rPr>
          <w:rFonts w:ascii="Times New Roman;Times;serif" w:hAnsi="Times New Roman;Times;serif"/>
          <w:color w:val="000000"/>
          <w:sz w:val="18"/>
        </w:rPr>
        <w:t xml:space="preserve"> (</w:t>
      </w:r>
      <w:r>
        <w:rPr>
          <w:rFonts w:ascii="Times New Roman;Times;serif" w:hAnsi="Times New Roman;Times;serif"/>
          <w:i/>
          <w:color w:val="000000"/>
          <w:sz w:val="18"/>
        </w:rPr>
        <w:t>Dividends</w:t>
      </w:r>
      <w:r>
        <w:rPr>
          <w:rFonts w:ascii="Times New Roman;Times;serif" w:hAnsi="Times New Roman;Times;serif"/>
          <w:color w:val="000000"/>
          <w:sz w:val="18"/>
        </w:rPr>
        <w:t xml:space="preserve">), </w:t>
      </w:r>
      <w:r>
        <w:rPr>
          <w:rFonts w:ascii="Times New Roman;Times;serif" w:hAnsi="Times New Roman;Times;serif"/>
          <w:color w:val="000000"/>
          <w:sz w:val="18"/>
          <w:u w:val="single"/>
        </w:rPr>
        <w:t>(v)</w:t>
      </w:r>
      <w:r>
        <w:rPr>
          <w:rFonts w:ascii="Times New Roman;Times;serif" w:hAnsi="Times New Roman;Times;serif"/>
          <w:color w:val="000000"/>
          <w:sz w:val="18"/>
        </w:rPr>
        <w:t xml:space="preserve"> (</w:t>
      </w:r>
      <w:r>
        <w:rPr>
          <w:rFonts w:ascii="Times New Roman;Times;serif" w:hAnsi="Times New Roman;Times;serif"/>
          <w:i/>
          <w:color w:val="000000"/>
          <w:sz w:val="18"/>
        </w:rPr>
        <w:t>Acquisitions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(viii)</w:t>
      </w:r>
      <w:r>
        <w:rPr>
          <w:rFonts w:ascii="Times New Roman;Times;serif" w:hAnsi="Times New Roman;Times;serif"/>
          <w:color w:val="000000"/>
          <w:sz w:val="18"/>
        </w:rPr>
        <w:t xml:space="preserve"> (</w:t>
      </w:r>
      <w:r>
        <w:rPr>
          <w:rFonts w:ascii="Times New Roman;Times;serif" w:hAnsi="Times New Roman;Times;serif"/>
          <w:i/>
          <w:color w:val="000000"/>
          <w:sz w:val="18"/>
        </w:rPr>
        <w:t>Issuances</w:t>
      </w:r>
      <w:r>
        <w:rPr>
          <w:rFonts w:ascii="Times New Roman;Times;serif" w:hAnsi="Times New Roman;Times;serif"/>
          <w:color w:val="000000"/>
          <w:sz w:val="18"/>
        </w:rPr>
        <w:t xml:space="preserve">), </w:t>
      </w:r>
      <w:r>
        <w:rPr>
          <w:rFonts w:ascii="Times New Roman;Times;serif" w:hAnsi="Times New Roman;Times;serif"/>
          <w:color w:val="000000"/>
          <w:sz w:val="18"/>
          <w:u w:val="single"/>
        </w:rPr>
        <w:t>(ix)</w:t>
      </w:r>
      <w:r>
        <w:rPr>
          <w:rFonts w:ascii="Times New Roman;Times;serif" w:hAnsi="Times New Roman;Times;serif"/>
          <w:color w:val="000000"/>
          <w:sz w:val="18"/>
        </w:rPr>
        <w:t xml:space="preserve"> (</w:t>
      </w:r>
      <w:r>
        <w:rPr>
          <w:rFonts w:ascii="Times New Roman;Times;serif" w:hAnsi="Times New Roman;Times;serif"/>
          <w:i/>
          <w:color w:val="000000"/>
          <w:sz w:val="18"/>
        </w:rPr>
        <w:t>Asset Sales</w:t>
      </w:r>
      <w:r>
        <w:rPr>
          <w:rFonts w:ascii="Times New Roman;Times;serif" w:hAnsi="Times New Roman;Times;serif"/>
          <w:color w:val="000000"/>
          <w:sz w:val="18"/>
        </w:rPr>
        <w:t xml:space="preserve">), </w:t>
      </w:r>
      <w:r>
        <w:rPr>
          <w:rFonts w:ascii="Times New Roman;Times;serif" w:hAnsi="Times New Roman;Times;serif"/>
          <w:color w:val="000000"/>
          <w:sz w:val="18"/>
          <w:u w:val="single"/>
        </w:rPr>
        <w:t>(xi)</w:t>
      </w:r>
      <w:r>
        <w:rPr>
          <w:rFonts w:ascii="Times New Roman;Times;serif" w:hAnsi="Times New Roman;Times;serif"/>
          <w:color w:val="000000"/>
          <w:sz w:val="18"/>
        </w:rPr>
        <w:t xml:space="preserve"> (</w:t>
      </w:r>
      <w:r>
        <w:rPr>
          <w:rFonts w:ascii="Times New Roman;Times;serif" w:hAnsi="Times New Roman;Times;serif"/>
          <w:i/>
          <w:color w:val="000000"/>
          <w:sz w:val="18"/>
        </w:rPr>
        <w:t>Debt</w:t>
      </w:r>
      <w:r>
        <w:rPr>
          <w:rFonts w:ascii="Times New Roman;Times;serif" w:hAnsi="Times New Roman;Times;serif"/>
          <w:color w:val="000000"/>
          <w:sz w:val="18"/>
        </w:rPr>
        <w:t xml:space="preserve">), </w:t>
      </w:r>
      <w:r>
        <w:rPr>
          <w:rFonts w:ascii="Times New Roman;Times;serif" w:hAnsi="Times New Roman;Times;serif"/>
          <w:color w:val="000000"/>
          <w:sz w:val="18"/>
          <w:u w:val="single"/>
        </w:rPr>
        <w:t>(xviii)</w:t>
      </w:r>
      <w:r>
        <w:rPr>
          <w:rFonts w:ascii="Times New Roman;Times;serif" w:hAnsi="Times New Roman;Times;serif"/>
          <w:color w:val="000000"/>
          <w:sz w:val="18"/>
        </w:rPr>
        <w:t xml:space="preserve"> (</w:t>
      </w:r>
      <w:r>
        <w:rPr>
          <w:rFonts w:ascii="Times New Roman;Times;serif" w:hAnsi="Times New Roman;Times;serif"/>
          <w:i/>
          <w:color w:val="000000"/>
          <w:sz w:val="18"/>
        </w:rPr>
        <w:t>Accounting</w:t>
      </w:r>
      <w:r>
        <w:rPr>
          <w:rFonts w:ascii="Times New Roman;Times;serif" w:hAnsi="Times New Roman;Times;serif"/>
          <w:color w:val="000000"/>
          <w:sz w:val="18"/>
        </w:rPr>
        <w:t xml:space="preserve">), </w:t>
      </w:r>
      <w:r>
        <w:rPr>
          <w:rFonts w:ascii="Times New Roman;Times;serif" w:hAnsi="Times New Roman;Times;serif"/>
          <w:color w:val="000000"/>
          <w:sz w:val="18"/>
          <w:u w:val="single"/>
        </w:rPr>
        <w:t>(xx)</w:t>
      </w:r>
      <w:r>
        <w:rPr>
          <w:rFonts w:ascii="Times New Roman;Times;serif" w:hAnsi="Times New Roman;Times;serif"/>
          <w:color w:val="000000"/>
          <w:sz w:val="18"/>
        </w:rPr>
        <w:t xml:space="preserve"> (</w:t>
      </w:r>
      <w:r>
        <w:rPr>
          <w:rFonts w:ascii="Times New Roman;Times;serif" w:hAnsi="Times New Roman;Times;serif"/>
          <w:i/>
          <w:color w:val="000000"/>
          <w:sz w:val="18"/>
        </w:rPr>
        <w:t>Taxes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w:t>
      </w:r>
      <w:r>
        <w:rPr>
          <w:rFonts w:ascii="Times New Roman;Times;serif" w:hAnsi="Times New Roman;Times;serif"/>
          <w:color w:val="000000"/>
          <w:sz w:val="18"/>
        </w:rPr>
        <w:t xml:space="preserve"> (</w:t>
      </w:r>
      <w:r>
        <w:rPr>
          <w:rFonts w:ascii="Times New Roman;Times;serif" w:hAnsi="Times New Roman;Times;serif"/>
          <w:i/>
          <w:color w:val="000000"/>
          <w:sz w:val="18"/>
        </w:rPr>
        <w:t>Affiliate Transactions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w:t>
      </w:r>
      <w:r>
        <w:rPr>
          <w:rFonts w:ascii="Times New Roman;Times;serif" w:hAnsi="Times New Roman;Times;serif"/>
          <w:i/>
          <w:color w:val="000000"/>
          <w:sz w:val="18"/>
        </w:rPr>
        <w:t>Capital Expenditures</w:t>
      </w:r>
      <w:r>
        <w:rPr>
          <w:rFonts w:ascii="Times New Roman;Times;serif" w:hAnsi="Times New Roman;Times;serif"/>
          <w:color w:val="000000"/>
          <w:sz w:val="18"/>
        </w:rPr>
        <w:t xml:space="preserve">), </w:t>
      </w:r>
      <w:r>
        <w:rPr>
          <w:rFonts w:ascii="Times New Roman;Times;serif" w:hAnsi="Times New Roman;Times;serif"/>
          <w:color w:val="000000"/>
          <w:sz w:val="18"/>
          <w:u w:val="single"/>
        </w:rPr>
        <w:t>(xxiii)</w:t>
      </w:r>
      <w:r>
        <w:rPr>
          <w:rFonts w:ascii="Times New Roman;Times;serif" w:hAnsi="Times New Roman;Times;serif"/>
          <w:color w:val="000000"/>
          <w:sz w:val="18"/>
        </w:rPr>
        <w:t xml:space="preserve"> (</w:t>
      </w:r>
      <w:r>
        <w:rPr>
          <w:rFonts w:ascii="Times New Roman;Times;serif" w:hAnsi="Times New Roman;Times;serif"/>
          <w:i/>
          <w:color w:val="000000"/>
          <w:sz w:val="18"/>
        </w:rPr>
        <w:t>Settlement of Litigation</w:t>
      </w:r>
      <w:r>
        <w:rPr>
          <w:rFonts w:ascii="Times New Roman;Times;serif" w:hAnsi="Times New Roman;Times;serif"/>
          <w:color w:val="000000"/>
          <w:sz w:val="18"/>
        </w:rPr>
        <w:t xml:space="preserve">), </w:t>
      </w:r>
      <w:r>
        <w:rPr>
          <w:rFonts w:ascii="Times New Roman;Times;serif" w:hAnsi="Times New Roman;Times;serif"/>
          <w:color w:val="000000"/>
          <w:sz w:val="18"/>
          <w:u w:val="single"/>
        </w:rPr>
        <w:t>(xxiv)</w:t>
      </w:r>
      <w:r>
        <w:rPr>
          <w:rFonts w:ascii="Times New Roman;Times;serif" w:hAnsi="Times New Roman;Times;serif"/>
          <w:color w:val="000000"/>
          <w:sz w:val="18"/>
        </w:rPr>
        <w:t xml:space="preserve"> (</w:t>
      </w:r>
      <w:r>
        <w:rPr>
          <w:rFonts w:ascii="Times New Roman;Times;serif" w:hAnsi="Times New Roman;Times;serif"/>
          <w:i/>
          <w:color w:val="000000"/>
          <w:sz w:val="18"/>
        </w:rPr>
        <w:t>Commencement of Litigation</w:t>
      </w:r>
      <w:r>
        <w:rPr>
          <w:rFonts w:ascii="Times New Roman;Times;serif" w:hAnsi="Times New Roman;Times;serif"/>
          <w:color w:val="000000"/>
          <w:sz w:val="18"/>
        </w:rPr>
        <w:t xml:space="preserve">), or, as it relates to any of the foregoing clauses, </w:t>
      </w:r>
      <w:r>
        <w:rPr>
          <w:rFonts w:ascii="Times New Roman;Times;serif" w:hAnsi="Times New Roman;Times;serif"/>
          <w:color w:val="000000"/>
          <w:sz w:val="18"/>
          <w:u w:val="single"/>
        </w:rPr>
        <w:t>(xxix)</w:t>
      </w:r>
      <w:r>
        <w:rPr>
          <w:rFonts w:ascii="Times New Roman;Times;serif" w:hAnsi="Times New Roman;Times;serif"/>
          <w:color w:val="000000"/>
          <w:sz w:val="18"/>
        </w:rPr>
        <w:t xml:space="preserve"> (</w:t>
      </w:r>
      <w:r>
        <w:rPr>
          <w:rFonts w:ascii="Times New Roman;Times;serif" w:hAnsi="Times New Roman;Times;serif"/>
          <w:i/>
          <w:color w:val="000000"/>
          <w:sz w:val="18"/>
        </w:rPr>
        <w:t>Restricted Actions</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38" w:name="tANNX29"/>
      <w:bookmarkEnd w:id="238"/>
      <w:r>
        <w:rPr>
          <w:rFonts w:ascii="Times New Roman;Times;serif" w:hAnsi="Times New Roman;Times;serif"/>
          <w:color w:val="000000"/>
          <w:sz w:val="18"/>
        </w:rPr>
        <w:t>2.9 </w:t>
      </w:r>
      <w:r>
        <w:rPr>
          <w:rFonts w:ascii="Times New Roman;Times;serif" w:hAnsi="Times New Roman;Times;serif"/>
          <w:color w:val="000000"/>
          <w:sz w:val="18"/>
          <w:u w:val="single"/>
        </w:rPr>
        <w:t>Intellectual Property and Related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(a) Except as would not have, and would not reasonably be expected to have, individually or in the aggregate, a Company Material Adverse Effect, the Company IP that is Registered IP (“</w:t>
      </w:r>
      <w:r>
        <w:rPr>
          <w:rFonts w:ascii="Times New Roman;Times;serif" w:hAnsi="Times New Roman;Times;serif"/>
          <w:color w:val="000000"/>
          <w:sz w:val="18"/>
          <w:u w:val="single"/>
        </w:rPr>
        <w:t>Company Registered IP</w:t>
      </w:r>
      <w:r>
        <w:rPr>
          <w:rFonts w:ascii="Times New Roman;Times;serif" w:hAnsi="Times New Roman;Times;serif"/>
          <w:color w:val="000000"/>
          <w:sz w:val="18"/>
        </w:rPr>
        <w:t xml:space="preserve">”) (other than applications for Patents, Marks or Copyrights pending as of the date hereof), including all Company Registered IP that is currently being asserted in any infringement proceedings, is subsisting and, to the knowledge of the Company, valid and enforceable.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have, and would not reasonably be expected to have, individually or in the aggregate, a Company Material Adverse Effect, all Company IP is owned exclusively by the Company or a Company Subsidiary free and clear of all Liens other than Company Permitted Encumbrances.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(i) neither the Company nor any Company Subsidiary is subject to any outstanding Order that restricts the use, transfer or licensing of any material Company IP by the Company or any Company Subsidiary, but excluding any Order of general applicability related to export controls on Technology, and (ii) the execution, delivery and performance of this Agreement, and the Closing, will not, with or without notice or the lapse of time, result in or give any other Person the right or option to cause under any Contract to which the Company or any Company Subsidiary is a party: (1) a loss of, or lien on, any material Company IP, (2) the release, disclosure, or delivery of any material Company IP by or to any escrow agent or other Person; or (3) the grant, assignment or transfer to any other Person of any license or other right or interest under, to or in any of the material Company IP or Company Products.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be, and would not reasonably be expected to be, individually or in the aggregate, material to Parent and its Subsidiaries, taken as a whole, the execution, delivery and performance of this Agreement, and the Closing, will not, with or without notice or the lapse of time, result in or give any other Person the right or option to cause under any Contract to which the Company or any Company Subsidiary is a party, the grant, assignment or transfer to any other Person of any license or other right or interest under, to or in any material Parent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reasonably be expected to, individually or in the aggregate, be material to the Company and the Company Subsidiaries, taken as a whole, (i) the operations of the businesses of the Company and the Company Subsidiaries as currently conducted, including the Company’s and the Company Subsidiaries’ design, manufacture, provision, use and sale of any Company Products, do not infringe, misappropriate or otherwise violate, and, since January 1, 2024, have not infringed, misappropriated or otherwise violated, any Intellectual Property Rights owned by any other Person; </w:t>
      </w:r>
      <w:r>
        <w:rPr>
          <w:rFonts w:ascii="Times New Roman;Times;serif" w:hAnsi="Times New Roman;Times;serif"/>
          <w:i/>
          <w:color w:val="000000"/>
          <w:sz w:val="18"/>
        </w:rPr>
        <w:t>provided, that</w:t>
      </w:r>
      <w:r>
        <w:rPr>
          <w:rFonts w:ascii="Times New Roman;Times;serif" w:hAnsi="Times New Roman;Times;serif"/>
          <w:color w:val="000000"/>
          <w:sz w:val="18"/>
        </w:rPr>
        <w:t xml:space="preserve">, with respect to the infringement of Patents, the foregoing representation and warranty is limited to the knowledge of the Company, (ii) no Legal Proceeding is pending or, since January 1, 2024, has been threatened in writing, against the Company or any Company Subsidiary alleging any infringement, misappropriation or violation of any Intellectual Property Rights of any other Person by the Company or any Company Subsidiary, (iii) to the knowledge of the Company, there is no, and, since January 1, 2024, has been no, unauthorized use, unauthorized disclosure, infringement, misappropriation or other violation of any Company IP by any third Person, and (iv) since January 1, 2024, neither the Company nor any Company Subsidiary has brought any Legal Proceeding against any other Person, or provided any other Person with written notice or other assertion, alleging any Person is infringing, misappropriating or otherwise violating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neither the Company nor any Company Subsidiary has received any funding or resources from, nor used, directly or indirectly,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39" w:name="ny20081083x2_defm14a_300-annexa_pg14"/>
        <w:bookmarkEnd w:id="2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facilities, personnel or other resources of, any government entities, or from any university, college, other academic institutions, or non-profit research centers (other than in connection with customer agreements in the ordinary course of business consistent with past practice) in the development of any (i) Company Product or (ii) Software or other Technology of the Company and the Company Subsidiaries, in each case (i) and (ii) that resulted in, or is reasonably expected to result in, such third parties being granted any ownership rights in or rights to restrict the sale, licensing, distribution, transfer or other commercialization or exploitation of any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have, and would not reasonably be expected to have, individually or in the aggregate, a Company Material Adverse Effect, (i) no Company IP has been declared as essential to any standard and (ii) no third party has specifically alleged that any Company IP is subject to any licensing, assignment, contribution, disclosure, release, covenant not to assert, or other requirements or restrictions of any industry standards organization, body, working group, patent pool, trade association, or similar organization.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reasonably be expected to, individually or in the aggregate, be material to the Company and the Company Subsidiaries, taken as a whole, the Company and each Company Subsidiary take and have taken commercially reasonable steps to protect their rights in their confidential information and all Trade Secrets of the Company and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would not have, and would not reasonably be expected to have, individually or in the aggregate, a Company Material Adverse Effect, each current and former employee of, and each current and former consultant to, the Company or any Company Subsidiary, in each case, who has been engaged in the creation, invention, development of, or otherwise contributed to, any (i) Company Product, or (ii) Software or other Technology of the Company and the Company Subsidiaries, has entered into an agreement with the Company or a Company Subsidiary for whom such employee or consultant provides or provided services containing an assignment to the Company or Company Subsidiaries, as applicable, of all Intellectual Property Rights in such Person’s contribution to Company IP except to the extent such Intellectual Property Rights are not legally assignable, and the Company and the Company Subsidiaries have obtained waivers of all non-assignable rights (including, but not limited to, a waiver of all moral rights).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(j) Except as would not reasonably be expected to, individually or in the aggregate, be material to the Company and the Company Subsidiaries, taken as a whole, (i) neither the Company nor any Company Subsidiary is in breach of any terms or conditions of any relevant Open Source Licenses for Open Source bundled with, embedded in, linked to or otherwise incorporated into any proprietary Company Products or Software, including notice and attribution obligations, and (ii) neither the Company nor any Company Subsidiary has integrated any such Open Source in a manner that requires or would require (or conditions the grant of any rights upon) any Software owned or controlled by the Company or any Company Subsidiary (including any source code thereto,) (A) to be disclosed or distributed in source code form, (B) to be licensed for the purposes of preparing derivative works or (C) to be redistributed at no charge.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(k) Except as would not reasonably be expected to, individually or in the aggregate, be material to the Company and the Company Subsidiaries, taken as a whole, (x) to the knowledge of the Company, any Software or firmware incorporated in or provided with Company Products by the Company or any Company Subsidiary, and any media used to distribute it by the Company or any Company Subsidiary, contain at delivery no computer instructions, circuitry or other technological means intended to disrupt, damage or otherwise negatively interfere with any use of any Company IT Systems or any customer’s computer and communications facilities or equipment (“</w:t>
      </w:r>
      <w:r>
        <w:rPr>
          <w:rFonts w:ascii="Times New Roman;Times;serif" w:hAnsi="Times New Roman;Times;serif"/>
          <w:color w:val="000000"/>
          <w:sz w:val="18"/>
          <w:u w:val="single"/>
        </w:rPr>
        <w:t>Harmful Code</w:t>
      </w:r>
      <w:r>
        <w:rPr>
          <w:rFonts w:ascii="Times New Roman;Times;serif" w:hAnsi="Times New Roman;Times;serif"/>
          <w:color w:val="000000"/>
          <w:sz w:val="18"/>
        </w:rPr>
        <w:t xml:space="preserve">”), and (y) the Company and the Company Subsidiaries use and have used reasonable efforts to prevent the introduction of such Harmful Code to all Software, firmware and media distributed or sold by the Company and the Company Subsidiaries.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(l) Neither the Company nor any Company Subsidiary has entered into any agreement requiring the Company or Company Subsidiary to place the material Software source code included in the Company IP in escrow so that a licensee might obtain access to it upon the occurrence of any release condition.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(m) Except as would not have, and would not reasonably be expected to have, individually or in the aggregate, a Company Material Adverse Effect, (i) the Company and each Company Subsidiary is in material compliance, and has since January 1, 2024 materially complied, with all applicable Legal Requirements regarding Personal Data; (ii) neither the Company nor any Company Subsidiary has, since January 1, 2024, received any written notice from any Person or applicable Governmental Entity alleging any violation of Legal Requirements regarding Personal Data by the Company or any Company Subsidiary, nor has the Company or any Company Subsidiary been threatened in writing to be charged with any such violation by any Governmental Entity; (iii) the Company and each Company Subsidiary takes and, has, since January 1, 2024, taken commercially reasonable steps (including, as appropriate, implementing reasonable technical, physical or administrative safeguards) designed to protect Personal Data in their possession or under their control against loss and unauthorized access, use, modification or disclosure, and, to the knowledge of the Company, since January 1, 2024, there has been no material incident of the same; (iv) the Company and each Company Subsidiary, takes and, has, since January 1, 2024, taken commercially reasonable steps with respect to all third-party service providers, outsourcers, processors or other third parties who process, store or otherwise handle Personal Data for or on behalf of the Company and the Company Subsidiaries to obligate such Persons to take steps to protect and secure Personal Data from loss or unauthorized use, access, modification or disclosure, and, to the knowledge of the Company, since January 1, 2024, there has been no material incident of the same; and (v) the execution, delivery and performance of this Agreement complies and will comply with all Privacy Laws and the Company’s and each of Company Subsidiaries’ own written rules, policies and procedures (including published privacy policies) in each case in all material respects.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(n) Except as would not have, and would not reasonably be expected to have, individually or in the aggregate, a Company Material Adverse Effect, the information technology systems used or held for use by the Company and any Company Subsidiaries (“</w:t>
      </w:r>
      <w:r>
        <w:rPr>
          <w:rFonts w:ascii="Times New Roman;Times;serif" w:hAnsi="Times New Roman;Times;serif"/>
          <w:color w:val="000000"/>
          <w:sz w:val="18"/>
          <w:u w:val="single"/>
        </w:rPr>
        <w:t>Company IT Systems</w:t>
      </w:r>
      <w:r>
        <w:rPr>
          <w:rFonts w:ascii="Times New Roman;Times;serif" w:hAnsi="Times New Roman;Times;serif"/>
          <w:color w:val="000000"/>
          <w:sz w:val="18"/>
        </w:rPr>
        <w:t xml:space="preserve">”) are designed, implemented, operated and maintained in accordance with customary industry standards and practices for entities operating businesses similar to the business of the Company and the Company Subsidiaries, including with respect to redundancy, reliability,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0" w:name="ny20081083x2_defm14a_300-annexa_pg15"/>
        <w:bookmarkEnd w:id="24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scalability and security, and constitute all the information and communications technology and other systems infrastructure reasonably necessary to carry on the business of the Company and the Company Subsidiaries as conducted in the twelve (12) months prior to the date of this Agreement. Without limiting the foregoing, except as would not reasonably be expected to, individually or in the aggregate, be material to the Company and the Company Subsidiaries, taken as a whole, (i) the Company and the Company Subsidiaries take, and have taken, reasonable steps and implemented reasonable procedures to ensure that the Company IT Systems are free from Harmful Code, (ii) the Company and the Company Subsidiaries have in effect industry standard disaster recovery plans, procedures and facilities for their business and take and have taken all reasonable steps to safeguard the security and the integrity of the Company IT Systems, and (iii) there has been no failure, breakdown, loss or impairment of, or any unauthorized intrusions or breaches of the security with respect to the Company IT Systems that (A) has resulted in a material disruption or material interruption in the operation of the business of the Company or any Company Subsidiary or (B) to the knowledge of the Company, has resulted in unauthorized disclosure of any confidential information of the Company or any Company Subsidiary to any unauthorized Person. </w:t>
      </w:r>
    </w:p>
    <w:p>
      <w:pPr>
        <w:pStyle w:val="TextBody"/>
        <w:bidi w:val="0"/>
        <w:spacing w:before="170" w:after="283"/>
        <w:ind w:left="0" w:right="0" w:firstLine="400"/>
        <w:jc w:val="left"/>
        <w:rPr>
          <w:rFonts w:ascii="Times New Roman;Times;serif" w:hAnsi="Times New Roman;Times;serif"/>
          <w:color w:val="000000"/>
          <w:sz w:val="18"/>
        </w:rPr>
      </w:pPr>
      <w:bookmarkStart w:id="241" w:name="tANNX210"/>
      <w:bookmarkEnd w:id="241"/>
      <w:r>
        <w:rPr>
          <w:rFonts w:ascii="Times New Roman;Times;serif" w:hAnsi="Times New Roman;Times;serif"/>
          <w:color w:val="000000"/>
          <w:sz w:val="18"/>
        </w:rPr>
        <w:t>2.10 </w:t>
      </w:r>
      <w:r>
        <w:rPr>
          <w:rFonts w:ascii="Times New Roman;Times;serif" w:hAnsi="Times New Roman;Times;serif"/>
          <w:color w:val="000000"/>
          <w:sz w:val="18"/>
          <w:u w:val="single"/>
        </w:rPr>
        <w:t>Title to Assets; Real Property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or a Company Subsidiary owns, and has good and marketable title to, or in the case of assets purported to be leased by the Company or a Company Subsidiary, leases and has a valid leasehold interest in, or valid rights under Contract to use, each of the tangible assets owned, leased, or used by the Company or a Company Subsidiary, free and clear of all Liens (other than Company Permitted Encumbrances), except as would not have, and would not reasonably be expected to have, individually or in the aggregate, a Company Material Adverse Effect.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(b) Neither the Company nor any Company Subsidiary owns any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Section 2.10(c)</w:t>
      </w:r>
      <w:r>
        <w:rPr>
          <w:rFonts w:ascii="Times New Roman;Times;serif" w:hAnsi="Times New Roman;Times;serif"/>
          <w:color w:val="000000"/>
          <w:sz w:val="18"/>
        </w:rPr>
        <w:t xml:space="preserve"> of the Company Disclosure Schedule contains a list as of the date of this Agreement of each material lease, sublease, license, or other material use or occupancy agreement (collectively, the “</w:t>
      </w:r>
      <w:r>
        <w:rPr>
          <w:rFonts w:ascii="Times New Roman;Times;serif" w:hAnsi="Times New Roman;Times;serif"/>
          <w:color w:val="000000"/>
          <w:sz w:val="18"/>
          <w:u w:val="single"/>
        </w:rPr>
        <w:t>Company Real Property Leases</w:t>
      </w:r>
      <w:r>
        <w:rPr>
          <w:rFonts w:ascii="Times New Roman;Times;serif" w:hAnsi="Times New Roman;Times;serif"/>
          <w:color w:val="000000"/>
          <w:sz w:val="18"/>
        </w:rPr>
        <w:t>”) under which the Company or any Company Subsidiary uses or occupies or has the right to use or occupy any real property (collectively, the “</w:t>
      </w:r>
      <w:r>
        <w:rPr>
          <w:rFonts w:ascii="Times New Roman;Times;serif" w:hAnsi="Times New Roman;Times;serif"/>
          <w:color w:val="000000"/>
          <w:sz w:val="18"/>
          <w:u w:val="single"/>
        </w:rPr>
        <w:t>Company Leased Real Property</w:t>
      </w:r>
      <w:r>
        <w:rPr>
          <w:rFonts w:ascii="Times New Roman;Times;serif" w:hAnsi="Times New Roman;Times;serif"/>
          <w:color w:val="000000"/>
          <w:sz w:val="18"/>
        </w:rPr>
        <w:t xml:space="preserve">”), and the location of each Company Leased Real Property. The Company has made available to Parent, in all material respects, complete copies of each Company Real Property Lease, including any amendments, modifications, supplements or guarantees thereof. Except as would not have, and would not reasonably be expected to have, individually or in the aggregate, a Company Material Adverse Effect, with respect to each Company Leased Real Property (i) either the Company or a Company Subsidiary has a good, valid and binding leasehold interest in such Company Leased Real Property, free and clear of all Liens (other than Company Permitted Encumbrances), (ii) the Real Property Lease for such Company Leased Real Property is in full force and effect and is valid and enforceable in accordance with its terms, against the Company or a Company Subsidiary and, to the knowledge of the Company, each other party thereto, and (iii) none of the Company or any Company Subsidiary, nor, to the knowledge of the Company, any other party to the Real Property Lease for such Company Leased Real Property, is in breach or default of any provision of such Real Property Lease nor has any event occurred which, with notice or the passage of time, or both, would give rise to such a default or breach.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have, and would not reasonably be expected to have, individually or in the aggregate, a Company Material Adverse Effect, neither the Company nor any Company Subsidiary has received any written notice of violations (that remain unresolved) with respect to the condition, operation, occupancy or use of any Company Leased Real Property.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(e) Except as would not have, and would not reasonably be expected to have, individually or in the aggregate, a Company Material Adverse Effect, neither the Company nor any Company Subsidiary has received any written notice of existing, pending or threatened (i) condemnation proceeding affecting any Company Leased Real Property, or (ii) zoning, building code or other moratorium proceedings, or similar matters which would reasonably be expected to materially and adversely affect the ability to operate any Company Leased Real Property as currently operated.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ongoing or planned alterations, renovations, additions or improvements with respect to the Company Leased Real Property by the Company or a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242" w:name="tANNX211"/>
      <w:bookmarkEnd w:id="242"/>
      <w:r>
        <w:rPr>
          <w:rFonts w:ascii="Times New Roman;Times;serif" w:hAnsi="Times New Roman;Times;serif"/>
          <w:color w:val="000000"/>
          <w:sz w:val="18"/>
        </w:rPr>
        <w:t>2.11 </w:t>
      </w:r>
      <w:r>
        <w:rPr>
          <w:rFonts w:ascii="Times New Roman;Times;serif" w:hAnsi="Times New Roman;Times;serif"/>
          <w:color w:val="000000"/>
          <w:sz w:val="18"/>
          <w:u w:val="single"/>
        </w:rPr>
        <w:t>Contracts</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contains a list as of the date of this Agreement of each of the following Contracts (other than Company Real Property Leases) to which the Company or a Company Subsidiary is a party (each such Contract (x) required to be listed in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of the Company Disclosure Schedule, or (y) that was required to be filed as a “material contract” (as such term is defined in Item 601(b)(10) of Regulation S-K under the Exchange Act) as an exhibit to the Most Recent Company 10-K under the Exchange Act prior to the date of this Agreement (other than any Company Plan), being referred to as a “</w:t>
      </w:r>
      <w:r>
        <w:rPr>
          <w:rFonts w:ascii="Times New Roman;Times;serif" w:hAnsi="Times New Roman;Times;serif"/>
          <w:color w:val="000000"/>
          <w:sz w:val="18"/>
          <w:u w:val="single"/>
        </w:rPr>
        <w:t>Company Material Contract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Contract that restricts in any material respect the ability of the Company, any Company Subsidiary or any Affiliate of any of them to (i) engage or compete in any geographic area or line of business, market or field, or transact with any Person (excluding for purposes of this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Contracts with any distributor of the Company or any Company Subsidiary other than Contracts with any Company Top Distributor), (ii) develop, sell, supply, manufacture, market, distribute, or support any material product or service, or (iii) solicit any client or customer (or that would so restrict Parent, any Parent Subsidiary or any Affiliate of any of them following the Closing), in each case, other than licenses of Intellectual Property Rights;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(b) each joint venture agreement, partnership agreement or similar agreement with a third party;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3" w:name="ny20081083x2_defm14a_300-annexa_pg16"/>
        <w:bookmarkEnd w:id="24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(c) each Contract (other than any Organizational Document) between the Company or any Company Subsidiary, on the one hand, and any director, officer or Affiliate (other than a wholly owned Company Subsidiary) of the Company or any Company Subsidiary or any of their respective “associates” or “immediate family” members (as such terms are defined in Rule 12b-2 and Rule 16a-1 of the Exchange Act), on the other hand, including (but not limited to) any Contract pursuant to which the Company or any Company Subsidiary has an obligation to indemnify such director, officer, Affiliate or “associate” or “immediate family” member, but excluding (i) any Company Plan, and (ii) any indemnification agreement entered into on the Company’s standard form (a copy of which has been made available to Parent) and entered into in the ordinary course of business;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(d) each Contract concerning the acquisition or divestiture of any Person, business or material line of business outside the ordinary course of business with a purchase price in excess of $15,000,000 during the three (3) years prior to the date of this Agreement or pursuant to which the Company or Company Subsidiaries have material ongoing obligations, but excluding any acquisition or divestiture Contract as to which no material obligations remain outstanding;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 each Contract evidencing indebtedness for money borrowed by the Company or any Company Subsidiary from a third party lender, and each Contract pursuant to which any such indebtedness for borrowed money is guaranteed by the Company or any Company Subsidiary, (ii) each Contract that grants a Lien (other than a Company Permitted Encumbrance or any license or right under Company IP) on any property or asset of the Company or the Company Subsidiaries that is material to the Company and the Company Subsidiaries, taken as a whole, and (iii) each Contract under which any Person is guaranteeing any liabilities or obligations of the Company or any of the Company Subsidiaries, in each case in excess of $10,000,000;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(f) each Contract expressly limiting or restricting the ability of the Company or any Company Subsidiary (i) to make distributions or declare or pay dividends in respect of their capital stock, partnership interests, membership interests or other equity interests, as the case may be, (ii) to pledge their capital stock or other equity interests, (iii) to make loans to the Company or any Company Subsidiary, or (iv) to grant liens on the property of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Contract that obligates the Company or any Company Subsidiary to make any loans, advances or capital contributions to, or investments in, any Person, except for (i) loans or advances for indemnification, attorneys’ fees, or travel and other business expenses in the ordinary course of business consistent with past practice, (ii) extended payment terms for customers in the ordinary course of business consistent with past practice, (iii) prepayment of Taxes for repatriated employees of the Company or any Company Subsidiary or (iv) loans, advances or capital contributions to, or investments in, any Person that is not an Affiliate or employee of the Company not in excess of $5,000,000 individually;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(h) each Contract that grants any right of first refusal, first notice, first negotiation or right of first offer, call right, put right, or other similar right with respect to any assets, rights or properties of the Company or any Company Subsidiary (i) for, or that would reasonably be expected to result in, total consideration of more than $5,000,000, (ii) with a fair market value in excess of $5,000,000 or (iii) that concerns material Company IP;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(i) each Contract with any foundry, or any provider of semiconductor product assembly, testing, and manufacturing services containing any “take or pay” or minimum purchase commitments that have outstanding payment obligations of the Company or a Company Subsidiary in excess of $3,000,000;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Contract in which a third Person licenses or assigns to the Company or a Company Subsidiary any material Intellectual Property Rights and where the payments to or from the third party under such Contract exceed $1,000,000 (excluding from disclosure any (i) Open Source Licenses, (ii) licenses to commercially available off-the-shelf Software (including Software provided as a service) or non-customized, commercially available Technology (including IP blocks), (iii) Contracts with current or former employees, consultants, or independent contractors of the Company or a Company Subsidiary, (iv) non-exclusive licenses granted in the ordinary course of business consistent with past practice, (v) non-disclosure agreements, (vi) implied, incidental, or ancillary licenses arising by operation of law or custom, (vii) non-exclusive licenses that are incidental to the primary purpose of the applicable Contract, (viii) non-exclusive licenses granted with respect to third-party products provided on an evaluation, trial, beta, proof-of-concept, or pilot basis, (ix) non-exclusive licenses granted by standards organizations, patent pools, trade associations, or similar organizations and/or their members, (x) any Contract filed as an exhibit to, or described as a “material contract” in (as such term is defined in Item 601(b)(10) of Regulation S-K under the Exchange Act) any Company 10-K under the Exchange Act prior to the date of this Agreement) or (xi) Contracts that are expired or terminated with no surviving material obligations relating to material Intellectual Property Rights (other than confidentiality);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(k) each Contract in which the Company or a Company Subsidiary licenses or assigns to a third Person any material Company IP (excluding from disclosure any (i) non-exclusive licenses granted to service providers of the Company or a Company Subsidiary to enable them to perform services for the benefit of the Company or a Company Subsidiary, (ii) non-exclusive licenses granted in the ordinary course of business consistent with past practice, (iii) non-disclosure agreements, (iv) implied, incidental, or ancillary licenses arising by operation of law or custom, (v) non-exclusive licenses that are incidental to the primary purpose of the applicable Contract, (vi) non-exclusive licenses granted with respect to Company Products provided on an evaluation, trial, beta, proof-of-concept, or pilot basis, (vii) non-exclusive licenses granted to standards organizations, patent pools, trade associations, or similar organizations and/or their members, (viii) any Contract filed as an exhibit to, or described as a “material contract” in (as such term is defined in Item 601(b)(10) of Regulation S-K under the Exchange Act) any Company 10-K under the Exchange Act prior to the date of this Agreement) or (ix) Contracts that are expired or terminated with no surviving material obligations relating to material Intellectual Property Rights (other than confidentiality);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4" w:name="ny20081083x2_defm14a_300-annexa_pg17"/>
        <w:bookmarkEnd w:id="24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(l) each written collective bargaining or other labor or works council agreement covering employees of the Company or a Company Subsidiary, excluding any national, sector, industry or similar generally applicable contract or arrangement;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(m) (i) each material Contract that contains a “most favored nation” provision or that otherwise requires the Company or any Company Subsidiary (or, following the Closing, would require Parent or any Parent Subsidiary) to conduct business with any Person on a preferential or exclusive basis, or (ii) each Contract with a Company Top Customer, Company Top Supplier or Company Top Distributor that includes a price protection or rebate provision in favor of the counterparty to such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(n) each settlement agreement entered into since January 1, 2024 (i) with a Governmental Entity, (ii) that requires the Company or any Company Subsidiary to pay more than $10,000,000, (iii) that imposes any material restrictions on the business of the Company or any Company Subsidiary or (iv) that imposes any material restrictions on any Affiliate of the Company (including future Affiliates);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(o) each Contract with any Company Top Customer, Company Top Distributor or Company Top Supplier (excluding (i) ordinary course confidentiality or non-disclosure agreements, (ii) purchase orders given or received in the ordinary course of business consistent with past practice, and (iii) statements of work that were signed prior to the date that is twenty four (24) months prior to the date hereof and that have been substantially satisfied in full);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(p) each Contract that creates any obligation under any interest rate, currency or commodity derivative or hedging transaction (other than the Company Convertible Note Hedge Obligations);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(q) each Contract with any Governmental Entity; and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(r) each other Contract not otherwise required to be disclosed under, or not in a category contemplated by, the foregoing clauses of this </w:t>
      </w:r>
      <w:r>
        <w:rPr>
          <w:rFonts w:ascii="Times New Roman;Times;serif" w:hAnsi="Times New Roman;Times;serif"/>
          <w:color w:val="000000"/>
          <w:sz w:val="18"/>
          <w:u w:val="single"/>
        </w:rPr>
        <w:t>Section 2.11</w:t>
      </w:r>
      <w:r>
        <w:rPr>
          <w:rFonts w:ascii="Times New Roman;Times;serif" w:hAnsi="Times New Roman;Times;serif"/>
          <w:color w:val="000000"/>
          <w:sz w:val="18"/>
        </w:rPr>
        <w:t xml:space="preserve"> that contemplates or involves the payment or delivery of cash or other consideration, or the performance of services, by or to the Company or any Company Subsidiary in an amount or having a value in excess of $20,000,000 on an annual basis.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There are no existing breaches or defaults on the part of the Company or any Company Subsidiary under any Company Material Contract, and, to the knowledge of the Company, there are no existing breaches or defaults on the part of any other Person under any Company Material Contract, in each case except where, individually or in the aggregate, such breaches or defaults would not have, and would not reasonably be expected to have, a Company Material Adverse Effect. Except as would not reasonably be expected to, individually or in the aggregate, be material to the Company and the Company Subsidiaries, taken as a whole, as of the date of this Agreement, neither the Company nor any Company Subsidiary has received written notice, or otherwise has knowledge, (A) that any other party to any Company Material Contract intends to terminate any Company Material Contract, or (B) of any material dispute related to any Company Material Contract. As of the date of this Agreement, no event has occurred or not occurred through the Company’s or any Company Subsidiary’s action or inaction or, to the knowledge of the Company, through the action or inaction of any third party, that, with notice or the lapse of time or both, would constitute a breach of or default under the terms of any Company Material Contract, in each case except where, such breaches or defaults would not have, and would not reasonably be expected to have, individually or in the aggregate, a Company Material Adverse Effect. Each Company Material Contract is valid, has not been terminated prior to the date of this Agreement, is enforceable against the Company or the applicable Company Subsidiary that is a party to such Company Material Contract, and, to the knowledge of the Company, is enforceable against the other parties thereto, in each case subject to the Enforceability Limitations, in each case, except as would not have, and would not reasonably be expected to have, individually or in the aggregate, a Company Material Adverse Effect. Prior to the date of this Agreement, the Company has made available to Parent accurate and complete copies of each Company Material Contract in effect as of the date of this Agreement, together with all amendments and supplements thereto in effect as of the date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245" w:name="tANNX212"/>
      <w:bookmarkEnd w:id="245"/>
      <w:r>
        <w:rPr>
          <w:rFonts w:ascii="Times New Roman;Times;serif" w:hAnsi="Times New Roman;Times;serif"/>
          <w:color w:val="000000"/>
          <w:sz w:val="18"/>
        </w:rPr>
        <w:t>2.12 </w:t>
      </w:r>
      <w:r>
        <w:rPr>
          <w:rFonts w:ascii="Times New Roman;Times;serif" w:hAnsi="Times New Roman;Times;serif"/>
          <w:color w:val="000000"/>
          <w:sz w:val="18"/>
          <w:u w:val="single"/>
        </w:rPr>
        <w:t>Company Products and Warranties</w:t>
      </w:r>
      <w:r>
        <w:rPr>
          <w:rFonts w:ascii="Times New Roman;Times;serif" w:hAnsi="Times New Roman;Times;serif"/>
          <w:color w:val="000000"/>
          <w:sz w:val="18"/>
        </w:rPr>
        <w:t xml:space="preserve">. Except as would not have, and would not reasonably be expected to have, individually or in the aggregate, a Company Material Adverse Effect, (i) since January 1, 2024, all Company Products sold and currently supported by the Company or any Company Subsidiary have been provided in conformity with the applicable specifications therefor, all applicable contractual commitments and all applicable express warranties, except as accounted for in the Company’s warranty reserve, as accounted for in the Company’s financial statements (including any related notes) contained or incorporated by reference in the Company SEC Documents, and (ii) neither the Company nor any Company Subsidiary has received warranty claims in excess of such warranty reserve. Except as would not have, and would not reasonably be expected to have, individually or in the aggregate, a Company Material Adverse Effect: (a) neither the Company nor any Company Subsidiary has any liability or obligation for the replacement or repair of Company Products or other damages in connection therewith, except liabilities or obligations for replacement or repair incurred in the ordinary course of business consistent with past practice or that have been accounted for in the Company’s warranty reserve; (b) no Company Product is subject to any guaranty, warranty or other indemnity beyond the applicable standard terms and conditions of sale, license or lease or beyond that implied or imposed by applicable Legal Requirements; and (c) there are no claims or allegations in writing against the Company or any Company Subsidiary, or voluntary recalls or equivalent actions with respect to any Company Products, under any theory, including strict liability, product liability, defect, error, failure to warn, negligence, warranty or indemnity, other than individual requests for customer support in the ordinary course of business. </w:t>
      </w:r>
    </w:p>
    <w:p>
      <w:pPr>
        <w:pStyle w:val="TextBody"/>
        <w:bidi w:val="0"/>
        <w:spacing w:before="120" w:after="283"/>
        <w:ind w:left="0" w:right="0" w:firstLine="400"/>
        <w:jc w:val="both"/>
        <w:rPr>
          <w:rFonts w:ascii="Times New Roman;Times;serif" w:hAnsi="Times New Roman;Times;serif"/>
          <w:color w:val="000000"/>
          <w:sz w:val="18"/>
        </w:rPr>
      </w:pPr>
      <w:bookmarkStart w:id="246" w:name="tANNX213"/>
      <w:bookmarkEnd w:id="246"/>
      <w:r>
        <w:rPr>
          <w:rFonts w:ascii="Times New Roman;Times;serif" w:hAnsi="Times New Roman;Times;serif"/>
          <w:color w:val="000000"/>
          <w:sz w:val="18"/>
        </w:rPr>
        <w:t>2.13 </w:t>
      </w:r>
      <w:r>
        <w:rPr>
          <w:rFonts w:ascii="Times New Roman;Times;serif" w:hAnsi="Times New Roman;Times;serif"/>
          <w:color w:val="000000"/>
          <w:sz w:val="18"/>
          <w:u w:val="single"/>
        </w:rPr>
        <w:t>Company Top Customers; Distributors and Suppliers</w:t>
      </w:r>
      <w:r>
        <w:rPr>
          <w:rFonts w:ascii="Times New Roman;Times;serif" w:hAnsi="Times New Roman;Times;serif"/>
          <w:color w:val="000000"/>
          <w:sz w:val="18"/>
        </w:rPr>
        <w:t xml:space="preserve">. Except as would not reasonably be expected to, individually or in the aggregate, be material to the Company and the Company Subsidiaries, taken as a whole, since January 1, 2024 to the date of this Agreement, (i) there has been no written notice of termination of the business relationship of the Company or the Company Subsidiaries with any Company Top Customer, Company Top Distributor or Company Top Supplier given to or received from any such Company Top Customer, Company Top Distributor 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47" w:name="ny20081083x2_defm14a_300-annexa_pg18"/>
        <w:bookmarkEnd w:id="2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Top Supplier; (ii) none of the Company nor any of the Company Subsidiaries has any outstanding dispute with any Company Top Customer, Company Top Distributor or Company Top Supplier, and (iii) no Company Top Customer, Company Top Distributor or Company Top Supplier has notified the Company or any of the Company Subsidiaries in writing that it intends to terminate or change the terms of its business in any respect adverse to the Company or the Company Subsidiaries. </w:t>
      </w:r>
    </w:p>
    <w:p>
      <w:pPr>
        <w:pStyle w:val="TextBody"/>
        <w:bidi w:val="0"/>
        <w:spacing w:before="170" w:after="283"/>
        <w:ind w:left="0" w:right="0" w:firstLine="400"/>
        <w:jc w:val="left"/>
        <w:rPr>
          <w:rFonts w:ascii="Times New Roman;Times;serif" w:hAnsi="Times New Roman;Times;serif"/>
          <w:color w:val="000000"/>
          <w:sz w:val="18"/>
        </w:rPr>
      </w:pPr>
      <w:bookmarkStart w:id="248" w:name="tANNX214"/>
      <w:bookmarkEnd w:id="248"/>
      <w:r>
        <w:rPr>
          <w:rFonts w:ascii="Times New Roman;Times;serif" w:hAnsi="Times New Roman;Times;serif"/>
          <w:color w:val="000000"/>
          <w:sz w:val="18"/>
        </w:rPr>
        <w:t>2.14 </w:t>
      </w:r>
      <w:r>
        <w:rPr>
          <w:rFonts w:ascii="Times New Roman;Times;serif" w:hAnsi="Times New Roman;Times;serif"/>
          <w:color w:val="000000"/>
          <w:sz w:val="18"/>
          <w:u w:val="single"/>
        </w:rPr>
        <w:t>Compliance with Legal Requirements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and would not reasonably be expected to be, individually or in the aggregate, material to the Company and the Company Subsidiaries, taken as a whole, the Company and the Company Subsidiaries are, and since January 1, 2023 have been, in compliance with all Legal Requirements applicable to them and their businesses. Except as would not, and would not reasonably be expected to be, individually or in the aggregate, material to the Company and the Company Subsidiaries, taken as a whole, neither the Company nor any Company Subsidiary has, during the three-year period prior to the date of this Agreement: (i) to the knowledge of the Company, received any written or verbal notice from any Governmental Entity regarding any violation by the Company or any Company Subsidiary of any Legal Requirement; or (ii) provided any notice to any Governmental Entity regarding any violation by the Company or any Company Subsidiary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(b) The Company and the Company Subsidiaries hold, and have at all times since January 1, 2023 held, all Governmental Authorizations and orders of all applicable Governmental Entities necessary for the lawful operation of the businesses of the Company and the Company Subsidiaries, and have filed all tariffs, reports, notices and other documents with all Governmental Entities necessary for the Company and the Company Subsidiaries to own, lease and operate their properties and assets and to carry on their businesses as they are now being conducted (the “</w:t>
      </w:r>
      <w:r>
        <w:rPr>
          <w:rFonts w:ascii="Times New Roman;Times;serif" w:hAnsi="Times New Roman;Times;serif"/>
          <w:color w:val="000000"/>
          <w:sz w:val="18"/>
          <w:u w:val="single"/>
        </w:rPr>
        <w:t>Company Permits</w:t>
      </w:r>
      <w:r>
        <w:rPr>
          <w:rFonts w:ascii="Times New Roman;Times;serif" w:hAnsi="Times New Roman;Times;serif"/>
          <w:color w:val="000000"/>
          <w:sz w:val="18"/>
        </w:rPr>
        <w:t xml:space="preserve">”) and have paid all fees and assessments due and payable in connection therewith, except where the failure to have, file or pay, would not be, and would not reasonably be expected to be, individually or in the aggregate, material to the Company and the Company Subsidiaries, taken as a whole. Except as would not reasonably be expected to be, individually or in the aggregate, material to the Company and the Company Subsidiaries, taken as a whole, (i) all Company Permits are valid and in full force and effect, are not subject to any administrative or judicial proceeding that could result in any modification, termination or revocation thereof and, to the knowledge of the Company, no suspension or cancellation of any such Company Permit is threatened; and (ii) the Company and each Company Subsidiary is in compliance with the terms and requirements of all the Company Permits. </w:t>
      </w:r>
    </w:p>
    <w:p>
      <w:pPr>
        <w:pStyle w:val="TextBody"/>
        <w:bidi w:val="0"/>
        <w:spacing w:before="160" w:after="283"/>
        <w:ind w:left="0" w:right="0" w:firstLine="400"/>
        <w:jc w:val="left"/>
        <w:rPr>
          <w:rFonts w:ascii="Times New Roman;Times;serif" w:hAnsi="Times New Roman;Times;serif"/>
          <w:color w:val="000000"/>
          <w:sz w:val="18"/>
        </w:rPr>
      </w:pPr>
      <w:bookmarkStart w:id="249" w:name="tANNX215"/>
      <w:bookmarkEnd w:id="249"/>
      <w:r>
        <w:rPr>
          <w:rFonts w:ascii="Times New Roman;Times;serif" w:hAnsi="Times New Roman;Times;serif"/>
          <w:color w:val="000000"/>
          <w:sz w:val="18"/>
        </w:rPr>
        <w:t>2.15 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(i) there is no Legal Proceeding pending (or, to the knowledge of the Company, threatened) against the Company or any Company Subsidiary, or affecting any of their respective properties or assets, and since January 1, 2024 there has been no such Legal Proceeding, and (ii) there is no Legal Proceeding pending (or, to the knowledge of the Company, threatened), that would adversely affect the Company’s ability to perform any of its obligations under, or consummate any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would not reasonably be expected to, individually or in the aggregate, be material to the Company and the Company Subsidiaries, taken as a whole, there are no subpoenas, civil investigative demands or other written requests for information issued to the Company or any Company Subsidiary relating to potential or actual violations of any Legal Requirement that are pending or, to the knowledge of the Company, threatened, or any investigations or claims against or affecting the Company or any Company Subsidiary, or any of their respective properties, relating to potential or actual violations of any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be, and would not reasonably be expected to be, individually or in the aggregate, material to the Company and the Company Subsidiaries, taken as a whole, there is no Order outstanding against the Company or any Company Subsidiary or any of their respective assets, rights or properties. </w:t>
      </w:r>
    </w:p>
    <w:p>
      <w:pPr>
        <w:pStyle w:val="TextBody"/>
        <w:bidi w:val="0"/>
        <w:spacing w:before="120" w:after="283"/>
        <w:ind w:left="0" w:right="0" w:firstLine="400"/>
        <w:jc w:val="both"/>
        <w:rPr>
          <w:rFonts w:ascii="Times New Roman;Times;serif" w:hAnsi="Times New Roman;Times;serif"/>
          <w:color w:val="000000"/>
          <w:sz w:val="18"/>
        </w:rPr>
      </w:pPr>
      <w:bookmarkStart w:id="250" w:name="tANNX216"/>
      <w:bookmarkEnd w:id="250"/>
      <w:r>
        <w:rPr>
          <w:rFonts w:ascii="Times New Roman;Times;serif" w:hAnsi="Times New Roman;Times;serif"/>
          <w:color w:val="000000"/>
          <w:sz w:val="18"/>
        </w:rPr>
        <w:t>2.16 </w:t>
      </w:r>
      <w:r>
        <w:rPr>
          <w:rFonts w:ascii="Times New Roman;Times;serif" w:hAnsi="Times New Roman;Times;serif"/>
          <w:color w:val="000000"/>
          <w:sz w:val="18"/>
          <w:u w:val="single"/>
        </w:rPr>
        <w:t>Anti-Corruption Laws: Anti-Money Laundering Laws: Sanctions Laws: Export Control Laws</w:t>
      </w:r>
      <w:r>
        <w:rPr>
          <w:rFonts w:ascii="Times New Roman;Times;serif" w:hAnsi="Times New Roman;Times;serif"/>
          <w:color w:val="000000"/>
          <w:sz w:val="18"/>
        </w:rPr>
        <w:t xml:space="preserve">. Except as would not, and would not reasonably be expected to be, individually or in the aggregate, material to the Company and the Company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nor any of their respective directors, officers, employees, or, to the knowledge of Company, other Representatives, is a Prohibited Person.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April 24, 2019, with respect to Sanctions Laws and Sanctioned Territories, and otherwise since January 1, 2021, neither the Company nor any Company Subsidiary, nor any of their respective directors, officers, employees, or, to the knowledge of the Company, other Representatives, in each case, acting on behalf of the Company or any Company Subsidiary, as applicable, in their official capacity: (i) has violated any applicable Anti-Corruption Laws, Anti-Money Laundering Laws, and Sanctions Laws; (ii) has violated any applicable Export Control Laws; (iii) is engaging or has, since April 24, 2019, engaged in any transactions or other dealings in violation of Sanctions Laws, directly or indirectly, with or on behalf of any Prohibited Person or in any Sanctioned Territory or Russia; (iv) is or has, since April 24, 2019, been a Prohibited Person; or (v) has made any Prohibited Payments.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Legal Proceeding or Order or disclosure, investigation, or inquiry against or involving the Company, any Company Subsidiary, or any of their respective directors, officers, employees, or, to the knowledge of the Company, other Representatives, in each case, acting on behalf of the Company or any Company Subsidiary, as applicable, in their official capacity, concerning or relating to Anti-Corruption Laws, Anti-Money Laundering Laws, Sanctions Laws or Export Control Laws, since April 24, 2019, with respect to Sanctions Laws, and otherwise since January 1, 2021, is pending or, to the knowledge of the Company, threatened.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1" w:name="ny20081083x2_defm14a_300-annexa_pg19"/>
        <w:bookmarkEnd w:id="2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has implemented policies and procedures reasonably designed to ensure compliance with all applicable Anti-Corruption Laws, Anti-Money Laundering Laws, Sanctions Laws, and Export Control Laws.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engaged in activities that would cause it to be a “covered foreign person” as described in the Outbound Investment Rules or otherwise cause any party to violate the Outbound Investment Rules. </w:t>
      </w:r>
    </w:p>
    <w:p>
      <w:pPr>
        <w:pStyle w:val="TextBody"/>
        <w:bidi w:val="0"/>
        <w:spacing w:before="170" w:after="283"/>
        <w:ind w:left="0" w:right="0" w:firstLine="400"/>
        <w:jc w:val="left"/>
        <w:rPr>
          <w:rFonts w:ascii="Times New Roman;Times;serif" w:hAnsi="Times New Roman;Times;serif"/>
          <w:color w:val="000000"/>
          <w:sz w:val="18"/>
        </w:rPr>
      </w:pPr>
      <w:bookmarkStart w:id="252" w:name="tANNX217"/>
      <w:bookmarkEnd w:id="252"/>
      <w:r>
        <w:rPr>
          <w:rFonts w:ascii="Times New Roman;Times;serif" w:hAnsi="Times New Roman;Times;serif"/>
          <w:color w:val="000000"/>
          <w:sz w:val="18"/>
        </w:rPr>
        <w:t>2.17 </w:t>
      </w:r>
      <w:r>
        <w:rPr>
          <w:rFonts w:ascii="Times New Roman;Times;serif" w:hAnsi="Times New Roman;Times;serif"/>
          <w:color w:val="000000"/>
          <w:sz w:val="18"/>
          <w:u w:val="single"/>
        </w:rPr>
        <w:t>Tax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would not have, and would not reasonably be expected to have, individually or in the aggregate, a Company Material Adverse Effect: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(i) The Company and the Company Subsidiaries have timely filed (taking into account any extension of time within which to file) all Tax Returns that are required to be filed by or with respect to any of them (the “</w:t>
      </w:r>
      <w:r>
        <w:rPr>
          <w:rFonts w:ascii="Times New Roman;Times;serif" w:hAnsi="Times New Roman;Times;serif"/>
          <w:color w:val="000000"/>
          <w:sz w:val="18"/>
          <w:u w:val="single"/>
        </w:rPr>
        <w:t>Company Returns</w:t>
      </w:r>
      <w:r>
        <w:rPr>
          <w:rFonts w:ascii="Times New Roman;Times;serif" w:hAnsi="Times New Roman;Times;serif"/>
          <w:color w:val="000000"/>
          <w:sz w:val="18"/>
        </w:rPr>
        <w:t xml:space="preserve">”) and all such Company Returns are true, correct and complete. The Company and the Company Subsidiaries have made available to Parent true, correct and complete copies of all material Company Returns for each of the preceding three (3) taxable years.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(ii) The Company and the Company Subsidiaries have timely paid in full to the appropriate Governmental Entity all Taxes required to be paid by any of them (whether or not reflected on any Tax Returns), and the financial statements of the Company and the Company Subsidiaries reflect full and adequate reserves, in accordance with GAAP, for all Taxes accrued but not yet paid by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(iii) Each of the Company and the Company Subsidiaries has (A) timely paid, deducted, withheld and collected all amounts required to be paid, deducted, withheld or collected by any of them with respect to any amounts paid or owing to their employees, creditors, independent contractors, customers and other third parties (and have timely paid over any amounts so withheld, deducted or collected to the appropriate Governmental Entity), and (B) otherwise complied with all applicable Legal Requirements relating to the withholding, collection and remittance of Taxes (including information reporting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(iv) Since January 1, 2020, no claim has been made in writing by any taxing authority in a jurisdiction where the Company or any Company Subsidiary has not filed Tax Returns of a particular type that the Company or any Company Subsidiary is or may be subject to Tax by, or required to file Tax Returns with respect to Taxes in, such jurisdiction.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(v) Neither the Company nor any Company Subsidiary will be required to include an item of income (or exclude an item of deduction) in any taxable period (or portion thereof) beginning after the Closing Date as a result of (A) a change in or use of an incorrect method of accounting occurring prior to the Closing Date, (B) a prepaid amount received (or deferred revenue recognized) or accrued, prior to the Closing Date, (C) an “intercompany transaction” within the meaning of Treasury Regulation Section 1.1502-13 (or any comparable provision of other applicable Law) occurring on or prior to the Closing Date, or (D) installment sale or open transaction disposition made on or prior to the Closing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(b) There are no: (i) examinations, investigations, audits, or other proceedings pending or threatened in writing with respect to any income or other material Taxes of the Company or any Company Subsidiary or any material Company Returns; (ii) extensions or waivers of the limitation period applicable to any income or other material Company Return or the period for the assessment of any income or other material Taxes of the Company or Company Subsidiaries; (iii) deficiencies for income or other material Taxes that have been claimed, proposed or assessed by any Governmental Entity against the Company or any Company Subsidiary that have not been fully satisfied by payment; (iv) Liens in respect of or on account of income or other material Taxes (other than Company Permitted Encumbrances) upon any of the property or assets of the Company or any Company Subsidiary, or (v) private letter rulings from the IRS (or any comparable Tax rulings from any other Governmental Entity) received or requested by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(c) Neither the Company nor any of the Company Subsidiaries (i) is or has been, since January 1, 2016, a member of any affiliated, combined, consolidated, unitary or similar group for purposes of filing Tax Returns or paying Taxes, except for any such group of which the Company is the common parent or (ii) has any liability for Taxes of any Person (other than the Company or any Company Subsidiary) under Treasury Regulations Section 1.1502-6 (or any similar state, local or non-U.S. Legal Requirement), as a transferee or successor or otherwise.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(d) Neither the Company nor any Company Subsidiary is a party to or bound by, or has any obligation under, any Tax indemnity, sharing, allocation, or reimbursement agreement or arrangement, other than: (i) customary tax provisions in ordinary course commercial agreements, the principal purpose of which is not related to Taxes; or (ii) any agreement or arrangement solely between or among the Company and/or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(e) Neither the Company nor any Company Subsidiary is bound with respect to the current or any future taxable period by any closing agreement (within the meaning of Section 7121(a) of the Code or any similar or analogous state, local or non-U.S. Legal Requirement) or other ruling or written agreement with a Tax authority, in each case, with respect to income or other material Taxes.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(f) Since January 1, 2024, neither the Company nor any Company Subsidiary has distributed stock of another Person, or has had its stock distributed by another Person, in a transaction that was purported or intended to be governed in whole or in part by Section 355(a)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(g) Neither the Company nor any Company Subsidiary has participated in any “listed transaction” within the meaning of Treasury Regulations Section 1.6011-4(b)(2) (or any similar state, local or non-U.S. Legal Requirement).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3" w:name="ny20081083x2_defm14a_300-annexa_pg20"/>
        <w:bookmarkEnd w:id="2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Company and Company Subsidiaries have complied in all material respects with (i) the requirements of Section 482 of the Code and the Treasury Regulations thereunder (and any comparable provision of other applicable Law) and (ii) their obligations to timely and properly prepare and maintain all material documentation (including any applicable transfer pricing studies) required under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(i) Neither the Company nor any Company Subsidiary is, or has ever been, engaged in a trade or business, or has, or has ever had, a “permanent establishment” (as defined in any applicable income tax treaty or under any applicable Law) or a fixed place of business, in any country other than its respective country of incorporation.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(j) Neither the Company nor any Company Subsidiary is the beneficiary of any income or other material Tax exemption, Tax holiday or other Tax incentive agreement or order.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(k) To the Company’s knowledge, neither the Company nor any Company Subsidiary has engaged in any “extraordinary disposition” or “extraordinary reduction” as such terms are defined in Treasury Regulations Section 1.245A-5, nor is a successor to any “extraordinary disposition account” pursuant to Treasury Regulations Section 1.245A-5.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(l) To the Company’s knowledge and based on the Company’s review of the Company Disclosure Schedule, the proper entity classification for U.S. federal income tax purposes that has applied to each of the Company Subsidiaries at all times since its formation is set forth on </w:t>
      </w:r>
      <w:r>
        <w:rPr>
          <w:rFonts w:ascii="Times New Roman;Times;serif" w:hAnsi="Times New Roman;Times;serif"/>
          <w:color w:val="000000"/>
          <w:sz w:val="18"/>
          <w:u w:val="single"/>
        </w:rPr>
        <w:t>Section 2.17(l)</w:t>
      </w:r>
      <w:r>
        <w:rPr>
          <w:rFonts w:ascii="Times New Roman;Times;serif" w:hAnsi="Times New Roman;Times;serif"/>
          <w:color w:val="000000"/>
          <w:sz w:val="18"/>
        </w:rPr>
        <w:t xml:space="preserve"> of the Company Disclosure Schedule. To the Company’s knowledge, no election has been filed or made or is pending to change any of the foregoing. </w:t>
      </w:r>
    </w:p>
    <w:p>
      <w:pPr>
        <w:pStyle w:val="TextBody"/>
        <w:bidi w:val="0"/>
        <w:spacing w:before="160" w:after="283"/>
        <w:ind w:left="0" w:right="0" w:firstLine="400"/>
        <w:jc w:val="left"/>
        <w:rPr>
          <w:rFonts w:ascii="Times New Roman;Times;serif" w:hAnsi="Times New Roman;Times;serif"/>
          <w:color w:val="000000"/>
          <w:sz w:val="18"/>
        </w:rPr>
      </w:pPr>
      <w:bookmarkStart w:id="254" w:name="tANNX218"/>
      <w:bookmarkEnd w:id="254"/>
      <w:r>
        <w:rPr>
          <w:rFonts w:ascii="Times New Roman;Times;serif" w:hAnsi="Times New Roman;Times;serif"/>
          <w:color w:val="000000"/>
          <w:sz w:val="18"/>
        </w:rPr>
        <w:t>2.18 </w:t>
      </w:r>
      <w:r>
        <w:rPr>
          <w:rFonts w:ascii="Times New Roman;Times;serif" w:hAnsi="Times New Roman;Times;serif"/>
          <w:color w:val="000000"/>
          <w:sz w:val="18"/>
          <w:u w:val="single"/>
        </w:rPr>
        <w:t>Employee Benefit Plans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Section 2.18(a)</w:t>
      </w:r>
      <w:r>
        <w:rPr>
          <w:rFonts w:ascii="Times New Roman;Times;serif" w:hAnsi="Times New Roman;Times;serif"/>
          <w:color w:val="000000"/>
          <w:sz w:val="18"/>
        </w:rPr>
        <w:t xml:space="preserve"> of the Company Disclosure Schedule sets forth a list of all material Company Plans as of the date of this Agreement other than any Company Plan required to be maintained by applicable Legal Requirements;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with respect to employment agreements, offer letters, severance agreements and similar arrangements, only the forms of such agreements and arrangements shall be listed along with the forms of any agreements that materially differ from such general forms. </w:t>
      </w:r>
      <w:r>
        <w:rPr>
          <w:rFonts w:ascii="Times New Roman;Times;serif" w:hAnsi="Times New Roman;Times;serif"/>
          <w:color w:val="000000"/>
          <w:sz w:val="18"/>
          <w:u w:val="single"/>
        </w:rPr>
        <w:t xml:space="preserve">Section 2.18(a) </w:t>
      </w:r>
      <w:r>
        <w:rPr>
          <w:rFonts w:ascii="Times New Roman;Times;serif" w:hAnsi="Times New Roman;Times;serif"/>
          <w:color w:val="000000"/>
          <w:sz w:val="18"/>
        </w:rPr>
        <w:t>of the Company Disclosure Schedule separately identifies each material Company Plan, other than any Company Plan required to be maintained by applicable Legal Requirements, that is governed by the laws of any jurisdiction other than the United States or provides compensation or benefits to any employee, former employee or other current or former individual service provider of the Company or any Company Subsidiary (or any dependent thereof) who resides outside of the United States (each, a “</w:t>
      </w:r>
      <w:r>
        <w:rPr>
          <w:rFonts w:ascii="Times New Roman;Times;serif" w:hAnsi="Times New Roman;Times;serif"/>
          <w:color w:val="000000"/>
          <w:sz w:val="18"/>
          <w:u w:val="single"/>
        </w:rPr>
        <w:t>Company Foreign Plan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has made available to Parent copies of, to the extent applicable: (i) the plan document for each material Company Plan (and all material amendments thereto); </w:t>
      </w:r>
      <w:r>
        <w:rPr>
          <w:rFonts w:ascii="Times New Roman;Times;serif" w:hAnsi="Times New Roman;Times;serif"/>
          <w:i/>
          <w:color w:val="000000"/>
          <w:sz w:val="18"/>
        </w:rPr>
        <w:t>provided, that</w:t>
      </w:r>
      <w:r>
        <w:rPr>
          <w:rFonts w:ascii="Times New Roman;Times;serif" w:hAnsi="Times New Roman;Times;serif"/>
          <w:color w:val="000000"/>
          <w:sz w:val="18"/>
        </w:rPr>
        <w:t xml:space="preserve">, the Company shall be required to make available only the forms of (and not individual) employment agreements, offer letters, severance agreements and similar arrangements along with the forms of any agreements that materially differ from such forms; (ii) the most recent annual report (Form Series 5500 and all schedules and financial statements attached thereto) with respect to each material Company Plan; (iii) the most recent ERISA summary plan description with respect to each material Company Plan; (iv) the most recent IRS determination or opinion letter issued with respect to each material Company Plan intended to be qualified under Section 401(a) of the Code; and (v) all material non-routine correspondence to or from any Governmental Entity regarding any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 Company Plan is, and neither the Company nor any of its ERISA Affiliates contributes to, has at any time in the previous six (6) years contributed to or has any liability or obligation, whether fixed or contingent, with respect to (i) a multiemployer plan, as defined in Section 3(37) of ERISA, (ii) a single employer plan or other pension plan that is subject to Title IV of ERISA or Section 302 of ERISA or Section 412 of the Code, (iii) a multiple employer plan that is subject to Section 413(c) of the Code or Section 4063 or 4064 of ERISA, (iv) a multiple employer welfare arrangement (within the meaning of Section 3(40) of ERISA), or (v) voluntary employee benefit association under Section 501(a)(9) of the Code. No Company Plan is a defined benefit pension plan or scheme.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(d) With respect to each Company Plan, except as would not have, and would not reasonably be expected to have, individually or in the aggregate, a Company Material Adverse Effect: (i) such Company Plan has been maintained, funded and administered in compliance with applicable Legal Requirements and the requirements of such Company Plan’s governing documents and any applicable collective bargaining or other works council agreements, (ii) all contributions and insurance premiums required to be made or paid with respect to any Company Plan on or prior to the date hereof have been timely deposited or accrued in accordance with GAAP, and (iii) all reports, returns, notices and similar documents required to be filed with any Governmental Entity or distributed to any Company Plan participant have been timely filed or distributed.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(e) Each Company Plan that is intended to be qualified under Section 401(a) of the Code has received a favorable determination letter (or opinion letter, if applicable) from the IRS stating that such Company Plan is so qualified and no event has occurred or condition exists since the date of such letter that would reasonably be expected to adversely affect the qualified status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(f) Except as would not have, and would not reasonably be expected to have, individually or in the aggregate, a Company Material Adverse Effect, there are no pending, or to the knowledge of the Company, anticipated or threatened, Legal Proceedings or claims against the Company or any of its Subsidiaries with respect to any Company Plan, by or on behalf of any employee, former employee or beneficiary covered under any such Company Plan (other than routine claims for benefits) that, individually or in the aggregate, would reasonably be expected to result in a liability to the Company or any of its Subsidiaries. Except as would not have, and would not reasonably be expected to have, individually or in the aggregate, a Company Material Adverse Effect, no Company Plan is, or within the last six (6) years has been, the subject of an examination, investigation or audit by a Governmental Entity, or is the subject of an application or filing under, or a participant in, a government-sponsored amnesty, voluntary compliance, self-correction or similar program.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5" w:name="ny20081083x2_defm14a_300-annexa_pg21"/>
        <w:bookmarkEnd w:id="2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(g) Except as would not reasonably be expected to, individually or in the aggregate, be material to the Company and the Company Subsidiaries, taken as a whole, none of the Company Plans obligate the Company to provide a current or former employee, consultant, director or other service provider (or any beneficiary or dependent thereof) of the Company with any life insurance or medical or health benefits after his or her termination of employment or service with the Company, other than as required by applicable Law.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(h) Except as would not have, and would not reasonably be expected to have, individually or in the aggregate, a Company Material Adverse Effect, with respect to each Company Plan: (i) neither the Company nor its Subsidiaries have engaged in, and to the knowledge of the Company no other Person has engaged in, any non-exempt “prohibited transaction” (as defined in Section 406 of ERISA or Section 4975 of the Code) and (ii) none of the Company or any of its Subsidiaries or, to the knowledge of the Company, any other “fiduciary” (as defined in Section 3(21) of ERISA) has any liability for breach of fiduciary duty or any other failure to act or comply in connection with the administration or investment of the assets of such Company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(i) Except as expressly contemplated under the terms of this Agreement, neither the execution and delivery of this Agreement nor the consummation of the transactions contemplated hereby (either alone or together with any other event) will: (i) entitle any current or former employee, officer, director, independent contractor or other individual service provider of the Company or any Company Subsidiary to any payment or benefit under any Company Plan, or result in the funding of any such payment or benefit (other than severance pay required under applicable foreign Law); (ii) increase the amount or value of any compensation, equity award or other benefits otherwise payable or required to be provided by the Company or any Company Subsidiary under any Company Plan; (iii) result in the acceleration of the time of payment, funding or vesting of any compensation or other benefits under any Company Plan; (iv) limit or restrict the right of the Company or any of its Subsidiaries to merge, amend, or terminate or receive a reversion of assets from any Company Plan or related trust in accordance with its terms and applicable Law; (v) directly or indirectly cause the Company to transfer or set aside any assets to fund any benefits under any Company Plan; or (vi) result in any “excess parachute payment” (within the meaning of Section 280G of the Code) becoming due to any current or former employee, officer, director, independent contractor, or other individual service provider of the Company or any Company Subsidiary, and there is no agreement between the Company or any Company Subsidiary, on the one hand, and any current or former employee, officer, director, independent contractor, or other individual service provider of the Company or Company Subsidiary, on the other hand, that will give rise to any payment that would not be deductible for United States federal income Tax purposes pursuant to Section 280G of the Code. No Company Plan provides for any gross-up, make-whole or other similar payment or benefit in respect of any taxes under Section 4999 of the Code or Section 409A of the Code.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(j) Each Company Plan that is subject to Section 409A of the Code has been maintained and operated in documentary and operational compliance in all material respects with the requirements of Section 409A of the Code and the applicable guidance issued thereunder, or an available exemption therefrom.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(k) Except as would not have, and would not reasonably be expected to have, individually or in the aggregate, a Company Material Adverse Effect, each Company Foreign Plan has been administered in compliance with its terms and operated in compliance with applicable Legal Requirements. With respect to each Company Foreign Plan, except as would not have, and would not reasonably be expected to have, individually or in the aggregate, a Company Material Adverse Effect, such Company Foreign Plan has obtained from the Governmental Entity having jurisdiction with respect to such Company Foreign Plan any required determinations, if any, that such Company Foreign Plan is in compliance with the applicable Legal Requirements of the relevant jurisdiction. Except as would not have, and would not reasonably be expected to have, individually or in the aggregate, a Company Material Adverse Effect, each Company Foreign Plan required to be registered or approved by a non-U.S. Governmental Entity has been registered or approved and has been maintained in good standing with applicable regulatory authorities, and no event has occurred since the date of the most recent approval or application therefor relating to any such Company Foreign Plan that could reasonably be expected to affect any such approval relating thereto or increase the costs relating thereto. Except as would not reasonably be expected to, individually or in the aggregate, be material to the Company and the Company Subsidiaries, taken as a whole, each Company Foreign Plan that is a pension plan or end of service defined benefit is funded to the extent required by the terms of such Company Foreign Plan and applicable Legal Requirements. </w:t>
      </w:r>
    </w:p>
    <w:p>
      <w:pPr>
        <w:pStyle w:val="TextBody"/>
        <w:bidi w:val="0"/>
        <w:spacing w:before="170" w:after="283"/>
        <w:ind w:left="0" w:right="0" w:firstLine="400"/>
        <w:jc w:val="left"/>
        <w:rPr>
          <w:rFonts w:ascii="Times New Roman;Times;serif" w:hAnsi="Times New Roman;Times;serif"/>
          <w:color w:val="000000"/>
          <w:sz w:val="18"/>
        </w:rPr>
      </w:pPr>
      <w:bookmarkStart w:id="256" w:name="tANNX219"/>
      <w:bookmarkEnd w:id="256"/>
      <w:r>
        <w:rPr>
          <w:rFonts w:ascii="Times New Roman;Times;serif" w:hAnsi="Times New Roman;Times;serif"/>
          <w:color w:val="000000"/>
          <w:sz w:val="18"/>
        </w:rPr>
        <w:t>2.19 </w:t>
      </w:r>
      <w:r>
        <w:rPr>
          <w:rFonts w:ascii="Times New Roman;Times;serif" w:hAnsi="Times New Roman;Times;serif"/>
          <w:color w:val="000000"/>
          <w:sz w:val="18"/>
          <w:u w:val="single"/>
        </w:rPr>
        <w:t>Labor Matters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(a) Neither the Company nor any Company Subsidiary is a party to or bound by any collective bargaining agreement or other labor-related agreement or arrangement with a labor organization or works council representing any of its employees, excluding any national, sector, industry or similar generally applicable contract or arrangement, and, as of the date of this Agreement, there are no labor organizations, works councils or other employee representative bodies representing, or, to the knowledge of the Company, seeking to represent any employees of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(b) Since January 1, 2023, there has not been any actual or, to the knowledge of the Company, threatened material unfair labor practice charge, grievance, arbitration, strike, work stoppage, lockout, slowdown, picketing or union organizing activity with respect to any of the employees of the Company or any Company Subsidiary, affecting the Company or any Company Subsidiary.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would not have, and would not reasonably be expected to have, individually or in the aggregate, a Company Material Adverse Effect, the Company and the Company Subsidiaries are, and since January 1, 2023, have been, in compliance with all applicable Legal Requirements, respecting employment and employment practices, including terms and conditions of employment of employees, former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57" w:name="ny20081083x2_defm14a_300-annexa_pg22"/>
        <w:bookmarkEnd w:id="2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employees and prospective employees, wages and hours, pay equity, discrimination in employment, wrongful discharge, collective bargaining, labor relations, mass layoffs or reductions in force, plant closing notification, fair labor standards, occupational health and safety, personal rights, disability rights or benefits, workers’ compensation, employee leave issues, unemployment insurance, automated employment decision tools, and other labor and employment-related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(d) Except as would not reasonably be expected to, individually or in the aggregate, be material to the Company and the Company Subsidiaries, taken as a whole, none of the Company or any of the Company Subsidiaries is party to a settlement agreement with a current or former officer, employee or independent contractor of the Company or any Company Subsidiary that involves allegations relating to harassment or discrimination of any kind by either (i) an officer of the Company or any Company Subsidiary or (ii) an employee of the Company or any Company Subsidiary at the level of Vice President or above. Except as would not reasonably be expected to, individually or in the aggregate, be material to the Company and the Company Subsidiaries, taken as a whole, to the knowledge of the Company, in the last five (5) years to the date of this Agreement, no allegations of harassment of any kind have been made against (i) any officer of the Company or any Company Subsidiary or (ii) any employee of the Company or any Company Subsidiary at the level of Vice President or above. </w:t>
      </w:r>
    </w:p>
    <w:p>
      <w:pPr>
        <w:pStyle w:val="TextBody"/>
        <w:bidi w:val="0"/>
        <w:spacing w:before="120" w:after="283"/>
        <w:ind w:left="0" w:right="0" w:firstLine="400"/>
        <w:jc w:val="both"/>
        <w:rPr>
          <w:rFonts w:ascii="Times New Roman;Times;serif" w:hAnsi="Times New Roman;Times;serif"/>
          <w:color w:val="000000"/>
          <w:sz w:val="18"/>
        </w:rPr>
      </w:pPr>
      <w:bookmarkStart w:id="258" w:name="tANNX220"/>
      <w:bookmarkEnd w:id="258"/>
      <w:r>
        <w:rPr>
          <w:rFonts w:ascii="Times New Roman;Times;serif" w:hAnsi="Times New Roman;Times;serif"/>
          <w:color w:val="000000"/>
          <w:sz w:val="18"/>
        </w:rPr>
        <w:t>2.20 </w:t>
      </w:r>
      <w:r>
        <w:rPr>
          <w:rFonts w:ascii="Times New Roman;Times;serif" w:hAnsi="Times New Roman;Times;serif"/>
          <w:color w:val="000000"/>
          <w:sz w:val="18"/>
          <w:u w:val="single"/>
        </w:rPr>
        <w:t>Environmental Matters</w:t>
      </w:r>
      <w:r>
        <w:rPr>
          <w:rFonts w:ascii="Times New Roman;Times;serif" w:hAnsi="Times New Roman;Times;serif"/>
          <w:color w:val="000000"/>
          <w:sz w:val="18"/>
        </w:rPr>
        <w:t xml:space="preserve">. The Company and the Company Subsidiaries are, and since January 1, 2024 have been, in compliance with all applicable Environmental Laws (which compliance includes the possession, and the compliance with the terms and conditions, by the Company and each Company Subsidiary of all Company Permits required under applicable Environmental Laws to conduct their respective business and operations), and there are no investigations, actions, suits or proceedings pending or, to the knowledge of the Company, threatened against the Company or any Company Subsidiary, that allege that the Company or any Company Subsidiary is violating, or has or may have, violated any Environmental Law, in each case, except as would not have, and would not reasonably be expected to have, individually or in the aggregate, a Company Material Adverse Effect. </w:t>
      </w:r>
    </w:p>
    <w:p>
      <w:pPr>
        <w:pStyle w:val="TextBody"/>
        <w:bidi w:val="0"/>
        <w:spacing w:before="120" w:after="283"/>
        <w:ind w:left="0" w:right="0" w:firstLine="400"/>
        <w:jc w:val="both"/>
        <w:rPr>
          <w:rFonts w:ascii="Times New Roman;Times;serif" w:hAnsi="Times New Roman;Times;serif"/>
          <w:color w:val="000000"/>
          <w:sz w:val="18"/>
        </w:rPr>
      </w:pPr>
      <w:bookmarkStart w:id="259" w:name="tANNX221"/>
      <w:bookmarkEnd w:id="259"/>
      <w:r>
        <w:rPr>
          <w:rFonts w:ascii="Times New Roman;Times;serif" w:hAnsi="Times New Roman;Times;serif"/>
          <w:color w:val="000000"/>
          <w:sz w:val="18"/>
        </w:rPr>
        <w:t>2.21 </w:t>
      </w:r>
      <w:r>
        <w:rPr>
          <w:rFonts w:ascii="Times New Roman;Times;serif" w:hAnsi="Times New Roman;Times;serif"/>
          <w:color w:val="000000"/>
          <w:sz w:val="18"/>
          <w:u w:val="single"/>
        </w:rPr>
        <w:t>Insurance</w:t>
      </w:r>
      <w:r>
        <w:rPr>
          <w:rFonts w:ascii="Times New Roman;Times;serif" w:hAnsi="Times New Roman;Times;serif"/>
          <w:color w:val="000000"/>
          <w:sz w:val="18"/>
        </w:rPr>
        <w:t xml:space="preserve">. The Company and the Company Subsidiaries maintain insurance with reputable insurers in such amounts and against such risks as the management of the Company has in good faith determined to be prudent and appropriate in all material respects. Except as would not have, and would not reasonably be expected to have, individually or in the aggregate, a Company Material Adverse Effect, all insurance policies maintained by or for the benefit of the Company or any of the Company Subsidiaries are in full force and effect, all premiums and other payments due or payable on such policies have been paid by the Company or a Company Subsidiary, claims thereunder have been filed in due and timely fashion, and neither the Company nor any Company Subsidiary is in breach or default under, has received any written notice of, or has taken any action that could permit cancellation, termination, non-renewal or modification of, any such insurance policies. </w:t>
      </w:r>
    </w:p>
    <w:p>
      <w:pPr>
        <w:pStyle w:val="TextBody"/>
        <w:bidi w:val="0"/>
        <w:spacing w:before="120" w:after="283"/>
        <w:ind w:left="0" w:right="0" w:firstLine="400"/>
        <w:jc w:val="both"/>
        <w:rPr>
          <w:rFonts w:ascii="Times New Roman;Times;serif" w:hAnsi="Times New Roman;Times;serif"/>
          <w:color w:val="000000"/>
          <w:sz w:val="18"/>
        </w:rPr>
      </w:pPr>
      <w:bookmarkStart w:id="260" w:name="tANNX222"/>
      <w:bookmarkEnd w:id="260"/>
      <w:r>
        <w:rPr>
          <w:rFonts w:ascii="Times New Roman;Times;serif" w:hAnsi="Times New Roman;Times;serif"/>
          <w:color w:val="000000"/>
          <w:sz w:val="18"/>
        </w:rPr>
        <w:t>2.22 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Assuming the accuracy of Parent’s representations in </w:t>
      </w:r>
      <w:r>
        <w:rPr>
          <w:rFonts w:ascii="Times New Roman;Times;serif" w:hAnsi="Times New Roman;Times;serif"/>
          <w:color w:val="000000"/>
          <w:sz w:val="18"/>
          <w:u w:val="single"/>
        </w:rPr>
        <w:t>Section 3.5</w:t>
      </w:r>
      <w:r>
        <w:rPr>
          <w:rFonts w:ascii="Times New Roman;Times;serif" w:hAnsi="Times New Roman;Times;serif"/>
          <w:color w:val="000000"/>
          <w:sz w:val="18"/>
        </w:rPr>
        <w:t xml:space="preserve">, the Company Board has taken all action necessary to render Section 203 of the DGCL, all other potentially applicable state anti-takeover statutes and any similar provisions of the Company’s Organizational Documents inapplicable to the Merger. None of the foregoing actions taken by the Company Board has been amended, rescinded or modified. There are no other “fair price,” “moratorium,” “control share acquisition,” “business combination” or other anti-takeover statute or similar Legal Requirement applicable to this Agreement or the Merger, including any such statute or regulation that would limit or restrict Parent or any of its Affiliates from exercising ownership of the shares of Company Common Stock acquired in the Merger. </w:t>
      </w:r>
    </w:p>
    <w:p>
      <w:pPr>
        <w:pStyle w:val="TextBody"/>
        <w:bidi w:val="0"/>
        <w:spacing w:before="120" w:after="283"/>
        <w:ind w:left="0" w:right="0" w:firstLine="400"/>
        <w:jc w:val="both"/>
        <w:rPr>
          <w:rFonts w:ascii="Times New Roman;Times;serif" w:hAnsi="Times New Roman;Times;serif"/>
          <w:color w:val="000000"/>
          <w:sz w:val="18"/>
        </w:rPr>
      </w:pPr>
      <w:bookmarkStart w:id="261" w:name="tANNX223"/>
      <w:bookmarkEnd w:id="261"/>
      <w:r>
        <w:rPr>
          <w:rFonts w:ascii="Times New Roman;Times;serif" w:hAnsi="Times New Roman;Times;serif"/>
          <w:color w:val="000000"/>
          <w:sz w:val="18"/>
        </w:rPr>
        <w:t>2.23 </w:t>
      </w:r>
      <w:r>
        <w:rPr>
          <w:rFonts w:ascii="Times New Roman;Times;serif" w:hAnsi="Times New Roman;Times;serif"/>
          <w:color w:val="000000"/>
          <w:sz w:val="18"/>
          <w:u w:val="single"/>
        </w:rPr>
        <w:t>Ownership of Parent Common Stock</w:t>
      </w:r>
      <w:r>
        <w:rPr>
          <w:rFonts w:ascii="Times New Roman;Times;serif" w:hAnsi="Times New Roman;Times;serif"/>
          <w:color w:val="000000"/>
          <w:sz w:val="18"/>
        </w:rPr>
        <w:t xml:space="preserve">. During the three (3) years prior to the date of this Agreement, none of the Company, any Company Subsidiary or any “affiliate” or “associate” (as such terms are defined in Section 203(c) of the DGCL) of any of the foregoing “owns” or “owned” (as such terms are defined in Section 203(c) of the DGCL), directly or indirectly, any shares of Parent Common Stock or other securities convertible into, exchangeable into or exercisable for shares of Parent Common Stock (other than pursuant to any Company Plan). There are no voting trusts or other agreements or understandings to which the Company or any Company Subsidiary is a party with respect to the voting of the capital stock or other equity interest of Parent or any Parent Subsidiary. </w:t>
      </w:r>
    </w:p>
    <w:p>
      <w:pPr>
        <w:pStyle w:val="TextBody"/>
        <w:bidi w:val="0"/>
        <w:spacing w:before="120" w:after="283"/>
        <w:ind w:left="0" w:right="0" w:firstLine="400"/>
        <w:jc w:val="both"/>
        <w:rPr>
          <w:rFonts w:ascii="Times New Roman;Times;serif" w:hAnsi="Times New Roman;Times;serif"/>
          <w:color w:val="000000"/>
          <w:sz w:val="18"/>
        </w:rPr>
      </w:pPr>
      <w:bookmarkStart w:id="262" w:name="tANNX224"/>
      <w:bookmarkEnd w:id="262"/>
      <w:r>
        <w:rPr>
          <w:rFonts w:ascii="Times New Roman;Times;serif" w:hAnsi="Times New Roman;Times;serif"/>
          <w:color w:val="000000"/>
          <w:sz w:val="18"/>
        </w:rPr>
        <w:t>2.24 </w:t>
      </w:r>
      <w:r>
        <w:rPr>
          <w:rFonts w:ascii="Times New Roman;Times;serif" w:hAnsi="Times New Roman;Times;serif"/>
          <w:color w:val="000000"/>
          <w:sz w:val="18"/>
          <w:u w:val="single"/>
        </w:rPr>
        <w:t>Opinion of Financial Advisor</w:t>
      </w:r>
      <w:r>
        <w:rPr>
          <w:rFonts w:ascii="Times New Roman;Times;serif" w:hAnsi="Times New Roman;Times;serif"/>
          <w:color w:val="000000"/>
          <w:sz w:val="18"/>
        </w:rPr>
        <w:t>. As of September 29, 2026, the Company Board has received the opinion of Qatalyst Partners LP (the “</w:t>
      </w:r>
      <w:r>
        <w:rPr>
          <w:rFonts w:ascii="Times New Roman;Times;serif" w:hAnsi="Times New Roman;Times;serif"/>
          <w:color w:val="000000"/>
          <w:sz w:val="18"/>
          <w:u w:val="single"/>
        </w:rPr>
        <w:t>Company Financial Advisor</w:t>
      </w:r>
      <w:r>
        <w:rPr>
          <w:rFonts w:ascii="Times New Roman;Times;serif" w:hAnsi="Times New Roman;Times;serif"/>
          <w:color w:val="000000"/>
          <w:sz w:val="18"/>
        </w:rPr>
        <w:t>” and such opinion, the “</w:t>
      </w:r>
      <w:r>
        <w:rPr>
          <w:rFonts w:ascii="Times New Roman;Times;serif" w:hAnsi="Times New Roman;Times;serif"/>
          <w:color w:val="000000"/>
          <w:sz w:val="18"/>
          <w:u w:val="single"/>
        </w:rPr>
        <w:t>Company Financial Advisor Opinion</w:t>
      </w:r>
      <w:r>
        <w:rPr>
          <w:rFonts w:ascii="Times New Roman;Times;serif" w:hAnsi="Times New Roman;Times;serif"/>
          <w:color w:val="000000"/>
          <w:sz w:val="18"/>
        </w:rPr>
        <w:t xml:space="preserve">”), financial advisor to the Company, to the effect that, as of the date of such opinion and subject to the various qualifications, assumptions, limitations, and other matters set forth therein, the Merger Consideration to be received by the holders of Company Common Stock (other than Parent or any Affiliate of Parent) pursuant to, and in accordance with, the terms of this Agreement is fair, from a financial point of view, to such holders. The Company will make available to Parent a copy of such opinion as soon as practicable following the execution of this Agreement for information purposes only. </w:t>
      </w:r>
    </w:p>
    <w:p>
      <w:pPr>
        <w:pStyle w:val="TextBody"/>
        <w:bidi w:val="0"/>
        <w:spacing w:before="120" w:after="283"/>
        <w:ind w:left="0" w:right="0" w:firstLine="400"/>
        <w:jc w:val="both"/>
        <w:rPr>
          <w:rFonts w:ascii="Times New Roman;Times;serif" w:hAnsi="Times New Roman;Times;serif"/>
          <w:color w:val="000000"/>
          <w:sz w:val="18"/>
        </w:rPr>
      </w:pPr>
      <w:bookmarkStart w:id="263" w:name="tANNX225"/>
      <w:bookmarkEnd w:id="263"/>
      <w:r>
        <w:rPr>
          <w:rFonts w:ascii="Times New Roman;Times;serif" w:hAnsi="Times New Roman;Times;serif"/>
          <w:color w:val="000000"/>
          <w:sz w:val="18"/>
        </w:rPr>
        <w:t>2.25 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the Company Financial Advisor) is entitled to any brokerage, finder’s or other similar fee or commission in connection with the Merger based upon arrangements made by or on behalf of the Company. The Company has made available to Parent true, correct and complete copies of all engagement, fee and similar Contracts between the Company (or any Company Subsidiary) and the Company Financial Advisor. </w:t>
      </w:r>
    </w:p>
    <w:p>
      <w:pPr>
        <w:pStyle w:val="TextBody"/>
        <w:bidi w:val="0"/>
        <w:spacing w:before="120" w:after="283"/>
        <w:ind w:left="0" w:right="0" w:firstLine="400"/>
        <w:jc w:val="both"/>
        <w:rPr>
          <w:rFonts w:ascii="Times New Roman;Times;serif" w:hAnsi="Times New Roman;Times;serif"/>
          <w:color w:val="000000"/>
          <w:sz w:val="18"/>
        </w:rPr>
      </w:pPr>
      <w:bookmarkStart w:id="264" w:name="tANNX226"/>
      <w:bookmarkEnd w:id="264"/>
      <w:r>
        <w:rPr>
          <w:rFonts w:ascii="Times New Roman;Times;serif" w:hAnsi="Times New Roman;Times;serif"/>
          <w:color w:val="000000"/>
          <w:sz w:val="18"/>
        </w:rPr>
        <w:t>2.26 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the Company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the Company with respect to statements made in the Proxy Statement based on information supplied by Parent for inclusion therein.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A-19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65" w:name="ny20081083x2_defm14a_300-annexa_pg23"/>
        <w:bookmarkEnd w:id="26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266" w:name="tANNXA3"/>
      <w:bookmarkEnd w:id="266"/>
      <w:r>
        <w:rPr>
          <w:rFonts w:ascii="Times New Roman;Times;serif" w:hAnsi="Times New Roman;Times;serif"/>
          <w:b/>
          <w:color w:val="000000"/>
          <w:sz w:val="18"/>
        </w:rPr>
        <w:t xml:space="preserve">ARTICLE III.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REPRESENTATIONS AND WARRANTIES OF PARENT AND MERGER SUB</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Parent and Merger Sub hereby jointly and severally represent and warrant to the Company that, except (i) as set forth or incorporated by reference in the Parent SEC Documents filed and publicly available after January 1, 2024 but prior to the date of this Agreement (excluding any disclosures contained in such documents under the heading “Risk Factors” or in any other section to the extent they are forward-looking statements or cautionary, predictive or forward-looking in nature, and without giving effect to any amendment to any such document filed on or after the date of this Agreement) and (ii) subject to </w:t>
      </w:r>
      <w:r>
        <w:rPr>
          <w:rFonts w:ascii="Times New Roman;Times;serif" w:hAnsi="Times New Roman;Times;serif"/>
          <w:color w:val="000000"/>
          <w:sz w:val="18"/>
          <w:u w:val="single"/>
        </w:rPr>
        <w:t>Section 7.12</w:t>
      </w:r>
      <w:r>
        <w:rPr>
          <w:rFonts w:ascii="Times New Roman;Times;serif" w:hAnsi="Times New Roman;Times;serif"/>
          <w:color w:val="000000"/>
          <w:sz w:val="18"/>
        </w:rPr>
        <w:t>, in the disclosure schedule delivered to the Company prior to the execution of this Agreement (the “</w:t>
      </w:r>
      <w:r>
        <w:rPr>
          <w:rFonts w:ascii="Times New Roman;Times;serif" w:hAnsi="Times New Roman;Times;serif"/>
          <w:color w:val="000000"/>
          <w:sz w:val="18"/>
          <w:u w:val="single"/>
        </w:rPr>
        <w:t>Parent Disclosure Schedule</w:t>
      </w:r>
      <w:r>
        <w:rPr>
          <w:rFonts w:ascii="Times New Roman;Times;serif" w:hAnsi="Times New Roman;Times;serif"/>
          <w:color w:val="000000"/>
          <w:sz w:val="18"/>
        </w:rPr>
        <w:t xml:space="preserve">”): </w:t>
      </w:r>
    </w:p>
    <w:p>
      <w:pPr>
        <w:pStyle w:val="TextBody"/>
        <w:bidi w:val="0"/>
        <w:spacing w:before="160" w:after="283"/>
        <w:ind w:left="0" w:right="0" w:firstLine="400"/>
        <w:jc w:val="left"/>
        <w:rPr>
          <w:rFonts w:ascii="Times New Roman;Times;serif" w:hAnsi="Times New Roman;Times;serif"/>
          <w:color w:val="000000"/>
          <w:sz w:val="18"/>
        </w:rPr>
      </w:pPr>
      <w:bookmarkStart w:id="267" w:name="tANNX31"/>
      <w:bookmarkEnd w:id="267"/>
      <w:r>
        <w:rPr>
          <w:rFonts w:ascii="Times New Roman;Times;serif" w:hAnsi="Times New Roman;Times;serif"/>
          <w:color w:val="000000"/>
          <w:sz w:val="18"/>
        </w:rPr>
        <w:t>3.1 </w:t>
      </w:r>
      <w:r>
        <w:rPr>
          <w:rFonts w:ascii="Times New Roman;Times;serif" w:hAnsi="Times New Roman;Times;serif"/>
          <w:color w:val="000000"/>
          <w:sz w:val="18"/>
          <w:u w:val="single"/>
        </w:rPr>
        <w:t>Due Organization and Good Standing.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Merger Sub are duly organized, validly existing and in good standing under the laws of the State of Delaware. Parent and Merger Sub have the requisite corporate power and authority to own, lease and operate their respective assets and to carry on their respective businesses as it is being conducted as of the date of this Agreement, except as would not have, and would not reasonably be expected to have, individually or in the aggregate, a Parent Material Adverse Effect. Parent and Merger Sub are duly qualified and are in good standing in each other jurisdiction where the nature of their business makes such qualification necessary, except where such failure to be so qualified or in good standing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(b) Prior to the date of this Agreement, Parent has made available to the Company copies of the Organizational Documents of Parent and Merger Sub. The Organizational Documents of Parent and Merger Sub are in full force and effect and neither Parent nor Merger Sub is in violation of any of the provisions of such Organizational Documents, except as would not have, and would not reasonably be expected to have, individually or in the aggregate, a Parent Material Adverse Effect. </w:t>
      </w:r>
    </w:p>
    <w:p>
      <w:pPr>
        <w:pStyle w:val="TextBody"/>
        <w:bidi w:val="0"/>
        <w:spacing w:before="160" w:after="283"/>
        <w:ind w:left="0" w:right="0" w:firstLine="400"/>
        <w:jc w:val="left"/>
        <w:rPr>
          <w:rFonts w:ascii="Times New Roman;Times;serif" w:hAnsi="Times New Roman;Times;serif"/>
          <w:color w:val="000000"/>
          <w:sz w:val="18"/>
        </w:rPr>
      </w:pPr>
      <w:bookmarkStart w:id="268" w:name="tANNX32"/>
      <w:bookmarkEnd w:id="268"/>
      <w:r>
        <w:rPr>
          <w:rFonts w:ascii="Times New Roman;Times;serif" w:hAnsi="Times New Roman;Times;serif"/>
          <w:color w:val="000000"/>
          <w:sz w:val="18"/>
        </w:rPr>
        <w:t>3.2 </w:t>
      </w:r>
      <w:r>
        <w:rPr>
          <w:rFonts w:ascii="Times New Roman;Times;serif" w:hAnsi="Times New Roman;Times;serif"/>
          <w:color w:val="000000"/>
          <w:sz w:val="18"/>
          <w:u w:val="single"/>
        </w:rPr>
        <w:t>Authority; Binding Nature of Agreement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has the requisite corporate power and authority under the DGCL and its Organizational Documents to enter into and to perform its obligations under this Agreement and to consummate the Merger, subject to the adoption of this Agreement by Parent in its capacity as sole stockholder of Merger Sub. The execution and delivery of this Agreement by Parent and the consummation by Parent of the Merger and other transactions contemplated by this Agreement have been duly authorized by all necessary corporate action on the part of the Parent Board, and no other corporate proceedings on the part of Parent are necessary to authorize this Agreement, in each case other than the adoption of this Agreement by Parent as the sole stockholder of Merger Sub and the filing of the Certificate of Merger as required by the DGCL. This Agreement has been duly executed and delivered on behalf of Parent and, assuming the due authorization, execution and delivery of this Agreement on behalf of the Company, constitutes the valid and binding obligation of Parent, enforceable against Parent in accordance with its terms, subject to the Enforceability Limitations.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Parent Board has unanimously: (i) duly and validly authorized and approved the execution, the delivery and the performance of this Agreement and the consummation of the Merger, by Parent; (ii) determined that this Agreement and the transactions contemplated by this Agreement, including the Merger are fair to and in the best interests of Parent and its stockholders; (iii) approved and declared advisable this Agreement and the transactions contemplated by this Agreement, including the Merger. Assuming the accuracy of the representations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the compliance by the Company with its obligations under </w:t>
      </w:r>
      <w:r>
        <w:rPr>
          <w:rFonts w:ascii="Times New Roman;Times;serif" w:hAnsi="Times New Roman;Times;serif"/>
          <w:color w:val="000000"/>
          <w:sz w:val="18"/>
          <w:u w:val="single"/>
        </w:rPr>
        <w:t xml:space="preserve">Section 4.2(a) </w:t>
      </w:r>
      <w:r>
        <w:rPr>
          <w:rFonts w:ascii="Times New Roman;Times;serif" w:hAnsi="Times New Roman;Times;serif"/>
          <w:color w:val="000000"/>
          <w:sz w:val="18"/>
        </w:rPr>
        <w:t xml:space="preserve">(to the extent non-compliance impacts or contributes to the inaccuracy of the following representation), no vote of the holders of shares of Parent Common Stock is necessary to approve this Agreement, the Merger or the other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board of directors of Merger Sub has: (i) determined that the transactions contemplated by this Agreement are fair to, and in the best interests of, Merger Sub and its stockholder; (ii) declared that this Agreement is advisable and recommended that its sole stockholder, in its capacity as such, adopt this Agreement; and (iii) authorized and approved the execution, delivery and performance of this Agreement by Merger Sub.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Merger Sub was formed solely for the purpose of entering into the transactions contemplated by this Agreement (including prior to the amendments provided herein) and is a wholly owned (directly or indirectly) Subsidiary of Parent, and has the requisite corporate power and authority under the DGCL and its Organizational Documents to enter into and to perform its obligations under this Agreement. The execution and delivery of this Agreement by Merger Sub and the consummation by Merger Sub of the transactions contemplated by this Agreement have been duly authorized by all necessary corporate action on the part of Merger Sub, and no other corporate proceedings on the part of Merger Sub are necessary to authorize this Agreement other than: (A) the adoption of this Agreement by Parent as the sole stockholder of Merger Sub; and (B) the filing of the Certificate of Merger as required by the DGCL. This Agreement has been duly executed and delivered by Merger Sub and, assuming the due authorization, execution and delivery of this Agreement on behalf of the Company, constitutes the valid and binding obligation of Merger Sub, enforceable against Merger Sub in accordance with its terms, subject to the Enforceability Limitations.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as the sole stockholder of Merger Sub, will execute and deliver a written consent to adopt this Agreement promptly after the execution and delivery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269" w:name="tANNX33"/>
      <w:bookmarkEnd w:id="269"/>
      <w:r>
        <w:rPr>
          <w:rFonts w:ascii="Times New Roman;Times;serif" w:hAnsi="Times New Roman;Times;serif"/>
          <w:color w:val="000000"/>
          <w:sz w:val="18"/>
        </w:rPr>
        <w:t>3.3 </w:t>
      </w:r>
      <w:r>
        <w:rPr>
          <w:rFonts w:ascii="Times New Roman;Times;serif" w:hAnsi="Times New Roman;Times;serif"/>
          <w:color w:val="000000"/>
          <w:sz w:val="18"/>
          <w:u w:val="single"/>
        </w:rPr>
        <w:t>Non-Contravention; Consents</w:t>
      </w:r>
      <w:r>
        <w:rPr>
          <w:rFonts w:ascii="Times New Roman;Times;serif" w:hAnsi="Times New Roman;Times;serif"/>
          <w:color w:val="000000"/>
          <w:sz w:val="18"/>
        </w:rPr>
        <w:t xml:space="preserv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(a) The execution and delivery of this Agreement by Parent and the consummation by Parent of the Merger will not: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(i) cause a violation of any of the provisions of the Organizational Documents of Parent or any Significant Parent Subsidiary;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0" w:name="ny20081083x2_defm14a_300-annexa_pg24"/>
        <w:bookmarkEnd w:id="27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(ii) assuming the consents and filings referred to in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are made and obtained, and except as may be required by the Securities Act, the Exchange Act, the DGCL, applicable Antitrust Laws, applicable FDI Laws, applicable state securities takeover and “blue sky” laws, or the rules and regulations of Nasdaq, conflict with or violate any applicable Legal Requirements;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(iii) subject to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result in any loss, limitation or impairment of any right of Parent or any Parent Subsidiary to own or use any assets, result in any violation of or default (with or without notice or lapse of time, or both) under, or give rise to a right of termination, cancellation, modification or acceleration of any obligation or to the loss of a benefit under any material Contract to which Parent or a Parent Subsidiary is party, or result in the creation of any Liens of any kind (other than Parent Permitted Encumbrances) upon any of the properties, rights or assets of Parent or any Parent Subsidiary; except, in the cases of </w:t>
      </w:r>
      <w:r>
        <w:rPr>
          <w:rFonts w:ascii="Times New Roman;Times;serif" w:hAnsi="Times New Roman;Times;serif"/>
          <w:color w:val="000000"/>
          <w:sz w:val="18"/>
          <w:u w:val="single"/>
        </w:rPr>
        <w:t>clauses (ii)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(iii)</w:t>
      </w:r>
      <w:r>
        <w:rPr>
          <w:rFonts w:ascii="Times New Roman;Times;serif" w:hAnsi="Times New Roman;Times;serif"/>
          <w:color w:val="000000"/>
          <w:sz w:val="18"/>
        </w:rPr>
        <w:t xml:space="preserve">, as would not have, and would not reasonably be expected to have, individually or in the aggregate, a Parent Material Adverse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(b) Except as may be required by the Securities Act, the Exchange Act, the DGCL, applicable Antitrust Laws, applicable FDI Laws, applicable state securities takeover and “blue sky” laws or the rules and regulations of Nasdaq, neither Parent, Merger Sub, nor any Parent Subsidiary, is required to make any filing, registration, or declaration with, give any notice to, or obtain any consent, Order, license, permit, clearance, waiver or approval from, any Governmental Entity for the execution and delivery of this Agreement by Parent or the consummation by Parent of the Merger, the performance by Parent of its covenants and obligations hereunder or the consummation by Parent of the Merger, in each case, except as would not have, and would not reasonably be expected to have, individually or in the aggregate, a Parent Material Adverse Effect. </w:t>
      </w:r>
    </w:p>
    <w:p>
      <w:pPr>
        <w:pStyle w:val="TextBody"/>
        <w:bidi w:val="0"/>
        <w:spacing w:before="120" w:after="283"/>
        <w:ind w:left="0" w:right="0" w:firstLine="400"/>
        <w:jc w:val="both"/>
        <w:rPr>
          <w:rFonts w:ascii="Times New Roman;Times;serif" w:hAnsi="Times New Roman;Times;serif"/>
          <w:color w:val="000000"/>
          <w:sz w:val="18"/>
        </w:rPr>
      </w:pPr>
      <w:bookmarkStart w:id="271" w:name="tANNX34"/>
      <w:bookmarkEnd w:id="271"/>
      <w:r>
        <w:rPr>
          <w:rFonts w:ascii="Times New Roman;Times;serif" w:hAnsi="Times New Roman;Times;serif"/>
          <w:color w:val="000000"/>
          <w:sz w:val="18"/>
        </w:rPr>
        <w:t>3.4 </w:t>
      </w:r>
      <w:r>
        <w:rPr>
          <w:rFonts w:ascii="Times New Roman;Times;serif" w:hAnsi="Times New Roman;Times;serif"/>
          <w:color w:val="000000"/>
          <w:sz w:val="18"/>
          <w:u w:val="single"/>
        </w:rPr>
        <w:t>Legal Proceedings; Investigations; Orders</w:t>
      </w:r>
      <w:r>
        <w:rPr>
          <w:rFonts w:ascii="Times New Roman;Times;serif" w:hAnsi="Times New Roman;Times;serif"/>
          <w:color w:val="000000"/>
          <w:sz w:val="18"/>
        </w:rPr>
        <w:t xml:space="preserve">. (i) Except as would not have, and would not reasonably be expected to have, individually or in the aggregate, a Parent Material Adverse Effect, there is no Legal Proceeding pending (or, to the knowledge of Parent, threatened) against Parent, Merger Sub or any Parent Subsidiary, or affecting any of their respective properties or assets, and since January 1, 2024 there has been no such Legal Proceeding, and (ii) there is no Legal Proceeding pending (or, to the knowledge of Parent, threatened), that would adversely affect Parent’s or the Merger Sub’s ability to perform any of its obligations under, or consummate any of the transactions contemplated by, this Agreement. </w:t>
      </w:r>
    </w:p>
    <w:p>
      <w:pPr>
        <w:pStyle w:val="TextBody"/>
        <w:bidi w:val="0"/>
        <w:spacing w:before="120" w:after="283"/>
        <w:ind w:left="0" w:right="0" w:firstLine="400"/>
        <w:jc w:val="both"/>
        <w:rPr>
          <w:rFonts w:ascii="Times New Roman;Times;serif" w:hAnsi="Times New Roman;Times;serif"/>
          <w:color w:val="000000"/>
          <w:sz w:val="18"/>
        </w:rPr>
      </w:pPr>
      <w:bookmarkStart w:id="272" w:name="tANNX35"/>
      <w:bookmarkEnd w:id="272"/>
      <w:r>
        <w:rPr>
          <w:rFonts w:ascii="Times New Roman;Times;serif" w:hAnsi="Times New Roman;Times;serif"/>
          <w:color w:val="000000"/>
          <w:sz w:val="18"/>
        </w:rPr>
        <w:t>3.5 </w:t>
      </w:r>
      <w:r>
        <w:rPr>
          <w:rFonts w:ascii="Times New Roman;Times;serif" w:hAnsi="Times New Roman;Times;serif"/>
          <w:color w:val="000000"/>
          <w:sz w:val="18"/>
          <w:u w:val="single"/>
        </w:rPr>
        <w:t>Ownership of Company Common Stock</w:t>
      </w:r>
      <w:r>
        <w:rPr>
          <w:rFonts w:ascii="Times New Roman;Times;serif" w:hAnsi="Times New Roman;Times;serif"/>
          <w:color w:val="000000"/>
          <w:sz w:val="18"/>
        </w:rPr>
        <w:t xml:space="preserve">. During the three (3) years prior to the date of this Agreement, neither Parent nor any Parent Subsidiary beneficially owns or owned, directly or indirectly, any shares of Company Common Stock or other securities convertible into, exchangeable into or exercisable for shares of Company Common Stock (other than pursuant to any Parent Plan). There are no voting trusts or other agreements or understandings to which Parent or any Parent Subsidiary is a party with respect to the voting of the capital stock or other equity interest of the Company or any Company Subsidiary. </w:t>
      </w:r>
    </w:p>
    <w:p>
      <w:pPr>
        <w:pStyle w:val="TextBody"/>
        <w:bidi w:val="0"/>
        <w:spacing w:before="120" w:after="283"/>
        <w:ind w:left="0" w:right="0" w:firstLine="400"/>
        <w:jc w:val="both"/>
        <w:rPr>
          <w:rFonts w:ascii="Times New Roman;Times;serif" w:hAnsi="Times New Roman;Times;serif"/>
          <w:color w:val="000000"/>
          <w:sz w:val="18"/>
        </w:rPr>
      </w:pPr>
      <w:bookmarkStart w:id="273" w:name="tANNX36"/>
      <w:bookmarkEnd w:id="273"/>
      <w:r>
        <w:rPr>
          <w:rFonts w:ascii="Times New Roman;Times;serif" w:hAnsi="Times New Roman;Times;serif"/>
          <w:color w:val="000000"/>
          <w:sz w:val="18"/>
        </w:rPr>
        <w:t>3.6 </w:t>
      </w:r>
      <w:r>
        <w:rPr>
          <w:rFonts w:ascii="Times New Roman;Times;serif" w:hAnsi="Times New Roman;Times;serif"/>
          <w:color w:val="000000"/>
          <w:sz w:val="18"/>
          <w:u w:val="single"/>
        </w:rPr>
        <w:t>Brokers</w:t>
      </w:r>
      <w:r>
        <w:rPr>
          <w:rFonts w:ascii="Times New Roman;Times;serif" w:hAnsi="Times New Roman;Times;serif"/>
          <w:color w:val="000000"/>
          <w:sz w:val="18"/>
        </w:rPr>
        <w:t xml:space="preserve">. No broker, finder or investment banker (other than Morgan Stanley &amp; Co. LLC and J.P. Morgan Securities LLC) is entitled to any brokerage, finder’s or other similar fee or commission in connection with the Merger based upon arrangements made by or on behalf of Parent. </w:t>
      </w:r>
    </w:p>
    <w:p>
      <w:pPr>
        <w:pStyle w:val="TextBody"/>
        <w:bidi w:val="0"/>
        <w:spacing w:before="120" w:after="283"/>
        <w:ind w:left="0" w:right="0" w:firstLine="400"/>
        <w:jc w:val="both"/>
        <w:rPr>
          <w:rFonts w:ascii="Times New Roman;Times;serif" w:hAnsi="Times New Roman;Times;serif"/>
          <w:color w:val="000000"/>
          <w:sz w:val="18"/>
        </w:rPr>
      </w:pPr>
      <w:bookmarkStart w:id="274" w:name="tANNX37"/>
      <w:bookmarkEnd w:id="274"/>
      <w:r>
        <w:rPr>
          <w:rFonts w:ascii="Times New Roman;Times;serif" w:hAnsi="Times New Roman;Times;serif"/>
          <w:color w:val="000000"/>
          <w:sz w:val="18"/>
        </w:rPr>
        <w:t>3.7 </w:t>
      </w:r>
      <w:r>
        <w:rPr>
          <w:rFonts w:ascii="Times New Roman;Times;serif" w:hAnsi="Times New Roman;Times;serif"/>
          <w:color w:val="000000"/>
          <w:sz w:val="18"/>
          <w:u w:val="single"/>
        </w:rPr>
        <w:t>Information Supplied</w:t>
      </w:r>
      <w:r>
        <w:rPr>
          <w:rFonts w:ascii="Times New Roman;Times;serif" w:hAnsi="Times New Roman;Times;serif"/>
          <w:color w:val="000000"/>
          <w:sz w:val="18"/>
        </w:rPr>
        <w:t xml:space="preserve">. The information supplied or to be supplied by Parent specifically for inclusion in the Proxy Statement will not, at the time of the filing of the Proxy Statement (and any amendment or supplement thereto), on the date that the Proxy Statement is first mailed to the stockholders of the Company, or on the date of the Company Stockholder Meeting, contain any untrue statement of a material fact or omit to state any material fact required to be stated therein or necessary in order to make the statements therein, in light of the circumstances under which they are made, not misleading. No representation or warranty is made by Parent with respect to statements made based on information supplied by the Company for inclusion in the Proxy Statement. </w:t>
      </w:r>
    </w:p>
    <w:p>
      <w:pPr>
        <w:pStyle w:val="TextBody"/>
        <w:bidi w:val="0"/>
        <w:spacing w:before="160" w:after="283"/>
        <w:ind w:left="0" w:right="0" w:firstLine="400"/>
        <w:jc w:val="left"/>
        <w:rPr>
          <w:rFonts w:ascii="Times New Roman;Times;serif" w:hAnsi="Times New Roman;Times;serif"/>
          <w:color w:val="000000"/>
          <w:sz w:val="18"/>
        </w:rPr>
      </w:pPr>
      <w:bookmarkStart w:id="275" w:name="tANNX38"/>
      <w:bookmarkEnd w:id="275"/>
      <w:r>
        <w:rPr>
          <w:rFonts w:ascii="Times New Roman;Times;serif" w:hAnsi="Times New Roman;Times;serif"/>
          <w:color w:val="000000"/>
          <w:sz w:val="18"/>
        </w:rPr>
        <w:t>3.8 </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(a) Parent has delivered to the Company true and complete copies of (i) the executed commitment letter, dated as of the date hereof, among Parent and the Financing Sources party thereto including all exhibits, schedules and annexes to such letter in effect as of the execution and delivery of this Agreement and (ii) the executed fee letter related thereto (together, the “</w:t>
      </w:r>
      <w:r>
        <w:rPr>
          <w:rFonts w:ascii="Times New Roman;Times;serif" w:hAnsi="Times New Roman;Times;serif"/>
          <w:color w:val="000000"/>
          <w:sz w:val="18"/>
          <w:u w:val="single"/>
        </w:rPr>
        <w:t>Debt Commitment Letter</w:t>
      </w:r>
      <w:r>
        <w:rPr>
          <w:rFonts w:ascii="Times New Roman;Times;serif" w:hAnsi="Times New Roman;Times;serif"/>
          <w:color w:val="000000"/>
          <w:sz w:val="18"/>
        </w:rPr>
        <w:t>”) pursuant to which the Financing Sources party thereto have agreed to provide, subject to the terms and conditions therein, debt financing in the amounts set forth therein (the “</w:t>
      </w:r>
      <w:r>
        <w:rPr>
          <w:rFonts w:ascii="Times New Roman;Times;serif" w:hAnsi="Times New Roman;Times;serif"/>
          <w:color w:val="000000"/>
          <w:sz w:val="18"/>
          <w:u w:val="single"/>
        </w:rPr>
        <w:t>Committed Financing</w:t>
      </w:r>
      <w:r>
        <w:rPr>
          <w:rFonts w:ascii="Times New Roman;Times;serif" w:hAnsi="Times New Roman;Times;serif"/>
          <w:color w:val="000000"/>
          <w:sz w:val="18"/>
        </w:rPr>
        <w:t xml:space="preserve">”) (it being understood that such fee letter has been redacted to remove fees, the rates and amounts in the “market flex”, if any, and other economic terms that are customarily redacted in connection with transactions of this type and that could not adversely affect the amount, conditionality, availability or termination of the Committed Financing). As of the execution and delivery of this Agreement, other than the Debt Commitment Letter, there are no side letters, understandings, arrangements or other agreements or contracts related to the Financing (other than customary engagement letters that do not contain provisions that could adversely affect the amount, conditionality, availability or termination of the Committed Financing). The Debt Commitment Letter contains all of the conditions precedent to make the Committed Financing available to Parent on the terms therein, and there are no other conditions or other contingencies related to the funding of the full amount of the Committed Financing, including any condition or other contingency relating to the availability of the Committed Financing pursuant to any “flex” provision. The commitments contained in the Debt Commitment Letter have not been withdrawn or rescinded in any respect prior to the date of this Agreement. As of the execution and delivery of this Agreement, the Debt Commitment Letter represents (A) a valid, binding and enforceable obligation of Parent and (B) to the knowledge of Parent, a valid, binding and enforceable obligation of each other party thereto, in the case of each of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(B)</w:t>
      </w:r>
      <w:r>
        <w:rPr>
          <w:rFonts w:ascii="Times New Roman;Times;serif" w:hAnsi="Times New Roman;Times;serif"/>
          <w:color w:val="000000"/>
          <w:sz w:val="18"/>
        </w:rPr>
        <w:t xml:space="preserve">, except as may be limited by the Enforceability Limitations. As of the execution and delivery of this Agreement, (i) the Debt Commitment Letter has not been amended, restated, supplemented or otherwise modified, or compliance with any of the terms waived, (ii) no commitment under the Debt Commitment Letter has been withdrawn, terminated or rescinded in any respect and (iii) no amendment, restatement, supplement, modification, withdrawal, termination or rescission of the Debt Commitment Letter is contemplated by Parent or, to the knowledge of Parent, by any other party thereto, except for joinders expressly contemplated by the Debt Commitment Letter in connection with the syndication of the financing contemplated thereby and permitted 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76" w:name="ny20081083x2_defm14a_300-annexa_pg25"/>
        <w:bookmarkEnd w:id="27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Section 4.19(b). Parent or the Parent Subsidiaries have fully paid (or caused to be paid) any and all commitment fees and other amounts that are required to be paid pursuant to the terms of the Debt Commitment Letter on or prior to the execution and delivery of this Agreement. As of the execution and delivery of this Agreement, no event has occurred, which, with or without notice, lapse of time or both, could reasonably be expected to (x) constitute a breach or default on the part of Parent or, to the knowledge of Parent, any other party to the Debt Commitment Letter, (y) to the knowledge of Parent, provide a basis for termination of the Debt Commitment Letter by any other party thereto, or (z) result in a failure of any condition to the funding of the full amount of the Committed Financing or otherwise result in any portion of the Committed Financing being unavailable at the Closing. Assuming satisfaction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Parent has no reason to believe that any of the conditions to funding set forth in the Debt Commitment Letter will not be satisfied or that the Committed Financing will not be available to Parent on the Closing Date in accordance with the terms of the Debt Commitment Letter.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(b) Assuming the accuracy of the representations and warranties set forth in </w:t>
      </w:r>
      <w:r>
        <w:rPr>
          <w:rFonts w:ascii="Times New Roman;Times;serif" w:hAnsi="Times New Roman;Times;serif"/>
          <w:color w:val="000000"/>
          <w:sz w:val="18"/>
          <w:u w:val="single"/>
        </w:rPr>
        <w:t>Section 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Sections 2.11(e)</w:t>
      </w:r>
      <w:r>
        <w:rPr>
          <w:rFonts w:ascii="Times New Roman;Times;serif" w:hAnsi="Times New Roman;Times;serif"/>
          <w:color w:val="000000"/>
          <w:sz w:val="18"/>
        </w:rPr>
        <w:t xml:space="preserve">, </w:t>
      </w:r>
      <w:r>
        <w:rPr>
          <w:rFonts w:ascii="Times New Roman;Times;serif" w:hAnsi="Times New Roman;Times;serif"/>
          <w:color w:val="000000"/>
          <w:sz w:val="18"/>
          <w:u w:val="single"/>
        </w:rPr>
        <w:t>2.11(g)</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2.11(p)</w:t>
      </w:r>
      <w:r>
        <w:rPr>
          <w:rFonts w:ascii="Times New Roman;Times;serif" w:hAnsi="Times New Roman;Times;serif"/>
          <w:color w:val="000000"/>
          <w:sz w:val="18"/>
        </w:rPr>
        <w:t xml:space="preserve"> and the Company’s compliance with its obligations contained in </w:t>
      </w:r>
      <w:r>
        <w:rPr>
          <w:rFonts w:ascii="Times New Roman;Times;serif" w:hAnsi="Times New Roman;Times;serif"/>
          <w:color w:val="000000"/>
          <w:sz w:val="18"/>
          <w:u w:val="single"/>
        </w:rPr>
        <w:t>Sections 4.2(a)(iii)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4.2(a)(iv)</w:t>
      </w:r>
      <w:r>
        <w:rPr>
          <w:rFonts w:ascii="Times New Roman;Times;serif" w:hAnsi="Times New Roman;Times;serif"/>
          <w:color w:val="000000"/>
          <w:sz w:val="18"/>
        </w:rPr>
        <w:t xml:space="preserve">, </w:t>
      </w:r>
      <w:r>
        <w:rPr>
          <w:rFonts w:ascii="Times New Roman;Times;serif" w:hAnsi="Times New Roman;Times;serif"/>
          <w:color w:val="000000"/>
          <w:sz w:val="18"/>
          <w:u w:val="single"/>
        </w:rPr>
        <w:t>4.2(a)(vii)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4.2(a)(viii)</w:t>
      </w:r>
      <w:r>
        <w:rPr>
          <w:rFonts w:ascii="Times New Roman;Times;serif" w:hAnsi="Times New Roman;Times;serif"/>
          <w:color w:val="000000"/>
          <w:sz w:val="18"/>
        </w:rPr>
        <w:t xml:space="preserve">, </w:t>
      </w:r>
      <w:r>
        <w:rPr>
          <w:rFonts w:ascii="Times New Roman;Times;serif" w:hAnsi="Times New Roman;Times;serif"/>
          <w:color w:val="000000"/>
          <w:sz w:val="18"/>
          <w:u w:val="single"/>
        </w:rPr>
        <w:t>4.2(a)(x)</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4.2(a)(xi)</w:t>
      </w:r>
      <w:r>
        <w:rPr>
          <w:rFonts w:ascii="Times New Roman;Times;serif" w:hAnsi="Times New Roman;Times;serif"/>
          <w:color w:val="000000"/>
          <w:sz w:val="18"/>
        </w:rPr>
        <w:t xml:space="preserve"> (it being understood that, for purposes of this assumption, any action taken by the Company or any Company Subsidiary with the prior written consent of Parent pursuant to Section 4.2(a) shall not be deemed non-compliance with such obligations, and Parent shall not be entitled to rely on such assumption with respect to any such consented-to action), Parent will have, as of the Closing, funds sufficient to (i) make all cash payments contemplated to be made by Parent, or the Surviving Corporation under this Agreement in connection with the Merger (including the aggregate Merger Consideration), any amounts that become payable in respect of the Credit Facility Termination, the redemption or repurchase of the Company Senior Notes, any redemption or repurchase of the Company Convertible Notes and any conversion of the Company Convertible Notes, (ii) pay all fees and expenses required to be paid by them on the Closing Date and (iii) satisfy all other payment obligations of Parent, Merger Sub or any of their respective Subsidiaries that are required to be satisfied in connection with Closing or with respect to the Merger and the other transactions contemplated hereby (collectively, the “</w:t>
      </w:r>
      <w:r>
        <w:rPr>
          <w:rFonts w:ascii="Times New Roman;Times;serif" w:hAnsi="Times New Roman;Times;serif"/>
          <w:color w:val="000000"/>
          <w:sz w:val="18"/>
          <w:u w:val="single"/>
        </w:rPr>
        <w:t>Required Amounts</w:t>
      </w:r>
      <w:r>
        <w:rPr>
          <w:rFonts w:ascii="Times New Roman;Times;serif" w:hAnsi="Times New Roman;Times;serif"/>
          <w:color w:val="000000"/>
          <w:sz w:val="18"/>
        </w:rPr>
        <w:t xml:space="preserve">”). Notwithstanding anything to the contrary contained herein, in no event shall the receipt or availability of any funds or financing, including the Financing, by Parent or Merger Sub be a condition to any of Parent’s or Merger Sub’s obligations hereunder. </w:t>
      </w:r>
    </w:p>
    <w:p>
      <w:pPr>
        <w:pStyle w:val="TextBody"/>
        <w:bidi w:val="0"/>
        <w:spacing w:before="120" w:after="283"/>
        <w:ind w:left="0" w:right="0" w:firstLine="400"/>
        <w:jc w:val="both"/>
        <w:rPr>
          <w:rFonts w:ascii="Times New Roman;Times;serif" w:hAnsi="Times New Roman;Times;serif"/>
          <w:color w:val="000000"/>
          <w:sz w:val="18"/>
        </w:rPr>
      </w:pPr>
      <w:bookmarkStart w:id="277" w:name="tANNX39"/>
      <w:bookmarkEnd w:id="277"/>
      <w:r>
        <w:rPr>
          <w:rFonts w:ascii="Times New Roman;Times;serif" w:hAnsi="Times New Roman;Times;serif"/>
          <w:color w:val="000000"/>
          <w:sz w:val="18"/>
        </w:rPr>
        <w:t>3.9 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Parent is the sole stockholder of Merger Sub. Since the date of its incorporation, Merger Sub has not carried on any business or conducted any operation other than the execution of this Agreement (including prior to the amendments provided herein), the performance of its obligations hereunder and matters ancillary thereto. </w:t>
      </w:r>
    </w:p>
    <w:p>
      <w:pPr>
        <w:pStyle w:val="TextBody"/>
        <w:bidi w:val="0"/>
        <w:spacing w:before="340" w:after="283"/>
        <w:jc w:val="center"/>
        <w:rPr>
          <w:rFonts w:ascii="Times New Roman;Times;serif" w:hAnsi="Times New Roman;Times;serif"/>
          <w:b/>
          <w:color w:val="000000"/>
          <w:sz w:val="18"/>
        </w:rPr>
      </w:pPr>
      <w:bookmarkStart w:id="278" w:name="tANNXA4"/>
      <w:bookmarkEnd w:id="278"/>
      <w:r>
        <w:rPr>
          <w:rFonts w:ascii="Times New Roman;Times;serif" w:hAnsi="Times New Roman;Times;serif"/>
          <w:b/>
          <w:color w:val="000000"/>
          <w:sz w:val="18"/>
        </w:rPr>
        <w:t xml:space="preserve">ARTICLE IV.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COVENANTS</w:t>
      </w:r>
      <w:r>
        <w:rPr>
          <w:rFonts w:ascii="Times New Roman;Times;serif" w:hAnsi="Times New Roman;Times;serif"/>
          <w:b/>
          <w:color w:val="000000"/>
          <w:sz w:val="18"/>
        </w:rPr>
        <w:t xml:space="preserve"> </w:t>
      </w:r>
    </w:p>
    <w:p>
      <w:pPr>
        <w:pStyle w:val="TextBody"/>
        <w:bidi w:val="0"/>
        <w:spacing w:before="140" w:after="283"/>
        <w:ind w:left="0" w:right="0" w:firstLine="400"/>
        <w:jc w:val="left"/>
        <w:rPr>
          <w:rFonts w:ascii="Times New Roman;Times;serif" w:hAnsi="Times New Roman;Times;serif"/>
          <w:color w:val="000000"/>
          <w:sz w:val="18"/>
        </w:rPr>
      </w:pPr>
      <w:bookmarkStart w:id="279" w:name="tANNX41"/>
      <w:bookmarkEnd w:id="279"/>
      <w:r>
        <w:rPr>
          <w:rFonts w:ascii="Times New Roman;Times;serif" w:hAnsi="Times New Roman;Times;serif"/>
          <w:color w:val="000000"/>
          <w:sz w:val="18"/>
        </w:rPr>
        <w:t>4.1 </w:t>
      </w:r>
      <w:r>
        <w:rPr>
          <w:rFonts w:ascii="Times New Roman;Times;serif" w:hAnsi="Times New Roman;Times;serif"/>
          <w:color w:val="000000"/>
          <w:sz w:val="18"/>
          <w:u w:val="single"/>
        </w:rPr>
        <w:t>Access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Upon reasonable prior notice and subject to the Clean Team Agreement, (i) the Company shall afford Parent and Parent’s Representatives reasonable access, during normal business hours throughout the period prior to the Effective Time, to the Company’s and the Company Subsidiaries’ personnel, properties, Contracts, filings with Governmental Entities, books and records and other information and materials reasonably requested by Parent and, during such period, the Company shall furnish promptly to Parent all additional financial, operating and other data and information concerning its business as Parent may reasonably request; and (ii) the Company shall reasonably cooperate with respect to Parent’s and Parent’s Representatives’ planning with respect to post-Closing business plans and operations (</w:t>
      </w:r>
      <w:r>
        <w:rPr>
          <w:rFonts w:ascii="Times New Roman;Times;serif" w:hAnsi="Times New Roman;Times;serif"/>
          <w:i/>
          <w:color w:val="000000"/>
          <w:sz w:val="18"/>
        </w:rPr>
        <w:t>provided</w:t>
      </w:r>
      <w:r>
        <w:rPr>
          <w:rFonts w:ascii="Times New Roman;Times;serif" w:hAnsi="Times New Roman;Times;serif"/>
          <w:color w:val="000000"/>
          <w:sz w:val="18"/>
        </w:rPr>
        <w:t xml:space="preserve"> the Company and the Company Subsidiaries shall not be required to implement such plans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shall not be required to permit any inspection or provide other access, or to disclose any information, that in the reasonable judgment of the Company would: (i) violate any legal or contractual obligation of the Company with respect to confidentiality or privacy; (ii) jeopardize protections afforded the Company under the attorney-client privilege, the attorney work product doctrine or similar legal privilege or protection; (iii) violate any Legal Requirement; (iv) involve any invasive sampling at or other material disturbances or potential damage to any real properties or physical assets of the Company, or (v) result in the disclosure of any trade secrets;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in each case the Company shall inform Parent of the nature of the information being withheld, and shall use reasonable best efforts to make alternative arrangements that would allow Parent (or its applicable Representative) access to such portions of information. All information provided to Parent and Parent’s Representatives by or on behalf of the Company pursuant to this Agreement shall be treated as “Confidential Information” of the Company for purposes of the Non-Disclosure Agreement. Notwithstanding anything to the contrary in this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nothing in this </w:t>
      </w:r>
      <w:r>
        <w:rPr>
          <w:rFonts w:ascii="Times New Roman;Times;serif" w:hAnsi="Times New Roman;Times;serif"/>
          <w:color w:val="000000"/>
          <w:sz w:val="18"/>
          <w:u w:val="single"/>
        </w:rPr>
        <w:t xml:space="preserve">Section 4.1(a) </w:t>
      </w:r>
      <w:r>
        <w:rPr>
          <w:rFonts w:ascii="Times New Roman;Times;serif" w:hAnsi="Times New Roman;Times;serif"/>
          <w:color w:val="000000"/>
          <w:sz w:val="18"/>
        </w:rPr>
        <w:t xml:space="preserve">shall require the Company or any of the Company Subsidiaries to prepare, create or deliver any financial statements, financial projections, or financial forecasts that were not prepared or maintained in the ordinary course of business prior to the date of this Agreement or any other analysis or other information that would create an undue burden for the Company to prepare.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exchange of information or investigation by either party or such party’s Representatives under this </w:t>
      </w:r>
      <w:r>
        <w:rPr>
          <w:rFonts w:ascii="Times New Roman;Times;serif" w:hAnsi="Times New Roman;Times;serif"/>
          <w:color w:val="000000"/>
          <w:sz w:val="18"/>
          <w:u w:val="single"/>
        </w:rPr>
        <w:t xml:space="preserve">Section 4.1 </w:t>
      </w:r>
      <w:r>
        <w:rPr>
          <w:rFonts w:ascii="Times New Roman;Times;serif" w:hAnsi="Times New Roman;Times;serif"/>
          <w:color w:val="000000"/>
          <w:sz w:val="18"/>
        </w:rPr>
        <w:t xml:space="preserve">shall affect or be deemed to affect, modify or waive the scope of the representations and warranties of the other party set forth in this Agreement. </w:t>
      </w:r>
    </w:p>
    <w:p>
      <w:pPr>
        <w:pStyle w:val="TextBody"/>
        <w:bidi w:val="0"/>
        <w:spacing w:before="160" w:after="283"/>
        <w:ind w:left="0" w:right="0" w:firstLine="400"/>
        <w:jc w:val="left"/>
        <w:rPr>
          <w:rFonts w:ascii="Times New Roman;Times;serif" w:hAnsi="Times New Roman;Times;serif"/>
          <w:color w:val="000000"/>
          <w:sz w:val="18"/>
        </w:rPr>
      </w:pPr>
      <w:bookmarkStart w:id="280" w:name="tANNX42"/>
      <w:bookmarkEnd w:id="280"/>
      <w:r>
        <w:rPr>
          <w:rFonts w:ascii="Times New Roman;Times;serif" w:hAnsi="Times New Roman;Times;serif"/>
          <w:color w:val="000000"/>
          <w:sz w:val="18"/>
        </w:rPr>
        <w:t>4.2 </w:t>
      </w:r>
      <w:r>
        <w:rPr>
          <w:rFonts w:ascii="Times New Roman;Times;serif" w:hAnsi="Times New Roman;Times;serif"/>
          <w:color w:val="000000"/>
          <w:sz w:val="18"/>
          <w:u w:val="single"/>
        </w:rPr>
        <w:t>Interim Operations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agrees that, during the period from the date of this Agreement through the earlier of the Closing or the termination of this Agreement, except (1) to the extent Parent shall otherwise give its prior consent in writing (which consent shall not be unreasonably withheld, conditioned or delayed), (2)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(3) as required by applicable Legal Requirements, or (4) as expressly permitted or required by this Agreement, the Company shall, and shall cause the Company Subsidiaries to: (i) use commercially reasonable efforts to conduct its business in the ordinary course consistent with past practice in all material respects and (ii) use commercially reasonable efforts to preserve intact in all material respects its and its Subsidiaries’ current business organization, keep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1" w:name="ny20081083x2_defm14a_300-annexa_pg26"/>
        <w:bookmarkEnd w:id="28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available the services of the Company’s current officers and maintain in all material respects its relations and goodwill with the Persons having material business relationships with the Company or any Company Subsidiary. Without limiting the foregoing, during the period from the date of this Agreement through the earlier of the Closing or the termination of this Agreement, except (A) to the extent Parent shall otherwise give its prior consent in writing (which consent shall not be unreasonably withheld, conditioned or delayed), including by electronic mail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if Parent does not respond in writing to such request within five (5) Business Days after receipt thereof, such consent shall be deemed to have been given), (B) as set forth in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of the Company Disclosure Schedule, (C) as required by applicable Legal Requirements, or (D) as expressly permitted or required by this Agreement, the Company shall not (and shall not permit any Company Subsidiary to and shall cause the Company Subsidiaries not to), directly or indirectly, in each case by merger, consolidation, division, operation of law, or otherwise (provided that the limitations and thresholds set forth in this Section 4.2(a) and in the corresponding sections of the Company Disclosure Schedule shall be effective as of and from June 25, 2026 and shall take into account actions taken by the Company and the Company Subsidiaries from such time): </w:t>
      </w:r>
    </w:p>
    <w:p>
      <w:pPr>
        <w:pStyle w:val="TextBody"/>
        <w:bidi w:val="0"/>
        <w:spacing w:before="17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(i) amend the Organizational Documents of the Company or any Significant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(ii) adopt a plan or agreement of (A) complete or partial liquidation, dissolution, consolidation, restructuring, recapitalization or other reorganization of the Company or any Company Subsidiary or (B) dissolution, merger, consolidation, share exchange, business combination, amalgamation, division or subdivision, restructuring, recapitalization, or other reorganization or similar transaction, other than, in the case of clause (B), transactions solely between or among direct or indirect wholly owned Subsidiaries of the Company;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(iii) adjust, split, combine, reverse stock split, subdivide, change, exchange, amend the terms of or reclassify any shares of the Company’s capital stock or other equity interests of the Company or any Company Subsidiary, other than transactions only involving Company Subsidiaries that would not impair the Company’s ownership or control over such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(iv) declare, accrue, set aside, make or pay any dividend or other distribution (whether payable in cash, stock, property or otherwise) with respect to any shares of the Company’s capital stock or other equity interest, or the capital stock or other equity interest of any Company Subsidiary, other than dividends or distributions only to the extent paid by any wholly owned Company Subsidiary to the Company or another wholly owned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(v) acquire (by merger, consolidation, operation of law, acquisition of stock, other equity interests or assets, formation of a joint venture or otherwise) (A) any other Entity, (B) any equity interest in any other Entity, or (C) any business or division of any other Entity or a substantial portion of such Entity’s assets, except, (1) acquisitions between the Company and any wholly owned Subsidiary or among any wholly owned Company Subsidiaries; or (2) acquisitions in one or more transactions with respect to which (x) the aggregate consideration for any individual acquisition (or series of related acquisitions) does not exceed $10,000,000 and (y) the aggregate consideration for all such transactions does not exceed $20,000,000;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(vi) except to the extent permitted by </w:t>
      </w:r>
      <w:r>
        <w:rPr>
          <w:rFonts w:ascii="Times New Roman;Times;serif" w:hAnsi="Times New Roman;Times;serif"/>
          <w:color w:val="000000"/>
          <w:sz w:val="18"/>
          <w:u w:val="single"/>
        </w:rPr>
        <w:t>Sections 4.2(a)(v)</w:t>
      </w:r>
      <w:r>
        <w:rPr>
          <w:rFonts w:ascii="Times New Roman;Times;serif" w:hAnsi="Times New Roman;Times;serif"/>
          <w:color w:val="000000"/>
          <w:sz w:val="18"/>
        </w:rPr>
        <w:t xml:space="preserve"> or </w:t>
      </w:r>
      <w:r>
        <w:rPr>
          <w:rFonts w:ascii="Times New Roman;Times;serif" w:hAnsi="Times New Roman;Times;serif"/>
          <w:color w:val="000000"/>
          <w:sz w:val="18"/>
          <w:u w:val="single"/>
        </w:rPr>
        <w:t>(xxii)</w:t>
      </w:r>
      <w:r>
        <w:rPr>
          <w:rFonts w:ascii="Times New Roman;Times;serif" w:hAnsi="Times New Roman;Times;serif"/>
          <w:color w:val="000000"/>
          <w:sz w:val="18"/>
        </w:rPr>
        <w:t xml:space="preserve">, (A) acquire, lease or license (as licensee) any assets with fair market value in excess of $5,000,000 in the aggregate outside the ordinary course of business consistent with past practice, or (B) acquire, lease, license, sell, assign, or grant the right of use of any interest in real property with fair market value in excess of $5,000,000;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(vii) directly or indirectly make any loans, advances, capital contributions to or any other investments in, in any transaction or series of transactions, any Person, excluding (A) advancement of payables and other deferred payments in the ordinary course of business consistent with past practice, and (B) transactions solely between the Company and a Company Subsidiary, or among the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(viii) issue, sell, pledge (except in connection with the actions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grant, authorize or otherwise permit to become outstanding any additional shares of, or securities convertible or exchangeable for, or options, warrants or rights to acquire, any shares of its capital stock or other equity interests, other than: (A) shares of Company Common Stock issuable upon the vesting of Company RSUs, Company PSUs or Company MSUs, in each case, that are outstanding as of the date of the Agreement or that are otherwise permitted to be granted following the date of this Agreement in accordance with the terms of this Agreement pursuant to the terms of such awards as set forth in the applicable Company Equity Agreements; (B) as expressly required pursuant to the terms of the Company Convertible Notes in connection with a conversion thereof at the election of the applicable holder without affirmative action by the Company or its Subsidiaries to encourage or solicit such conversion; (C) pursuant to the exercise of purchase rights under the Company ESPP in the ordinary course of business consistent with past practice; or (D) in connection with any transaction between the Company and any wholly-owned Company Subsidiary, or among any wholly-owned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(ix) sell, assign, transfer, lease or license to any third party, or encumber, knowingly abandon, knowingly cancel, knowingly allow to lapse, knowingly allow to expire, or otherwise dispose of (by merger, consolidation, operation of law, division or otherwise), any material Company IP or other material assets or right of the Company, other than: (A) sales, assignments, transfers, leases, licenses or other dispositions of inventory, goods or services in the ordinary course of business consistent with past practice; (B) pursuant to written Contracts or commitments existing as of the date of this Agreement and set forth on </w:t>
      </w:r>
      <w:r>
        <w:rPr>
          <w:rFonts w:ascii="Times New Roman;Times;serif" w:hAnsi="Times New Roman;Times;serif"/>
          <w:color w:val="000000"/>
          <w:sz w:val="18"/>
          <w:u w:val="single"/>
        </w:rPr>
        <w:t xml:space="preserve">Section 4.2(a)(ix) </w:t>
      </w:r>
      <w:r>
        <w:rPr>
          <w:rFonts w:ascii="Times New Roman;Times;serif" w:hAnsi="Times New Roman;Times;serif"/>
          <w:color w:val="000000"/>
          <w:sz w:val="18"/>
        </w:rPr>
        <w:t xml:space="preserve">of the Company Disclosure Schedule; (C) dispositions of obsolete equipment or assets in the ordinary course of business consistent with past practice; (D) as security for any indebtedness and guarantees permitted by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(E) non-exclusive licenses granted in the ordinary course of business, (F) abandonment of Company IP that is not material (to the business of the Company and its Subsidiaries) in the ordinary course of business consistent with past practice, (G) sales, assignments, transfers, leases, licenses or other dispositions of, or grants of rights with respect to,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2" w:name="ny20081083x2_defm14a_300-annexa_pg27"/>
        <w:bookmarkEnd w:id="28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any assets (other than Company IP that is material to the business of the Company and its Subsidiaries) for which the aggregate consideration received or receivable by the Company or any Company Subsidiary across all such transactions does not exceed $10,000,000, or (H) transactions between or among the Company and one or more wholly owned Company Subsidiaries or among wholly owned Company Subsidiaries;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(x) directly or indirectly repurchase, redeem or otherwise acquire any shares of the Company’s or any Company Subsidiary’s capital stock or equity interests, or any other securities or obligations convertible (currently or after the passage of time or the occurrence of certain events) into or exchangeable for any shares of the Company’s or any Company Subsidiary’s capital stock or equity interests, except: (A) shares of Company Common Stock repurchased from employees or consultants or former employees or consultants of the Company pursuant to the exercise of repurchase rights set forth in Company Equity Agreements in the ordinary course of business, consistent with past practice, and pursuant to the terms of the applicable Company Equity Agreements; or (B) shares of Company Common Stock accepted as payment for withholding Taxes incurred in connection with the vesting or settlement of Company RSUs, Company PSUs and Company MSUs, as applicable, in the ordinary course of business, consistent with past practice, and pursuant to the terms of the applicable Company Equity Agreements;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(xi) (A) incur, redeem, repurchase, prepay, discharge, defease, or cancel any indebtedness for borrowed money, guarantee any such indebtedness, issue or sell any debt securities or rights to acquire any debt securities (directly, contingently or otherwise), or amend, restate, supplement or otherwise modify the terms of any debt securities or indebtedness for borrowed money or guarantees thereof, except for: (1) incurrences and prepayments in the ordinary course of business pursuant to the Company’s or any Company Subsidiary’s existing credit facilities or letter of credit facilities (and any Permitted Company Debt Modification thereof); (2) any indebtedness among the Company and any wholly-owned Company Subsidiaries or among any wholly-owned Company Subsidiaries; (3) guarantees by the Company or the Company Subsidiaries in respect of any indebtedness incurred in compliance with this </w:t>
      </w:r>
      <w:r>
        <w:rPr>
          <w:rFonts w:ascii="Times New Roman;Times;serif" w:hAnsi="Times New Roman;Times;serif"/>
          <w:color w:val="000000"/>
          <w:sz w:val="18"/>
          <w:u w:val="single"/>
        </w:rPr>
        <w:t>clause (xi)</w:t>
      </w:r>
      <w:r>
        <w:rPr>
          <w:rFonts w:ascii="Times New Roman;Times;serif" w:hAnsi="Times New Roman;Times;serif"/>
          <w:color w:val="000000"/>
          <w:sz w:val="18"/>
        </w:rPr>
        <w:t xml:space="preserve">; (4) incurrences of (a) purchase money financings and capital leases entered into in the ordinary course of business consistent with past practice, and (b) ordinary-course financing incident to commercial transactions in an aggregate amount not to exceed $5,000,000 at any time outstanding, and, in respect of (a) and (b), prepayments, discharges, and cancellations thereof;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aggregate amount of (a) and (b) shall not exceed $10,000,000 at any time outstanding; (5) (a) as expressly required pursuant to the terms of the Company Convertible Notes in connection with a conversion thereof at the election of the applicable holder without affirmative action by the Company or its Subsidiaries to encourage or solicit such conversion, (b) to the extent required pursuant to the terms of the Company Credit Agreement, the Company Senior Notes Indenture or any Permitted Company Debt Modification of the foregoing, or (c) any action taken pursuant to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(6) amendments, restatements, supplements, modifications, extensions, renewals, refinancings and replacements of debt securities, indebtedness for borrowed money or guarantees thereof that (w) do not increase the interest rate or secure unsecured indebtedness, (x) in the case of revolving or letter of credit facilities, do not increase borrowing capacity thereunder, and otherwise, do not increase the aggregate principal amount thereunder or guaranteed, as applicable (other than by fees, accrued interest or premiums), (y) do not impose materially more burdensome restrictive covenants, taken as a whole, on the Company and the Company Subsidiaries, and (z) do not impose change of control, redemption, repurchase, defeasance and discharge provisions materially less favorable to the Company and the Company Subsidiaries than the original debt securities so amended, restated, supplemented, modified, extended, renewed, refinanced or replaced, as applicable, including by imposing a higher premium on the Company (or Parent, including pursuant to its rights set forth in </w:t>
      </w:r>
      <w:r>
        <w:rPr>
          <w:rFonts w:ascii="Times New Roman;Times;serif" w:hAnsi="Times New Roman;Times;serif"/>
          <w:color w:val="000000"/>
          <w:sz w:val="18"/>
          <w:u w:val="single"/>
        </w:rPr>
        <w:t>Section 4.16(d)</w:t>
      </w:r>
      <w:r>
        <w:rPr>
          <w:rFonts w:ascii="Times New Roman;Times;serif" w:hAnsi="Times New Roman;Times;serif"/>
          <w:color w:val="000000"/>
          <w:sz w:val="18"/>
        </w:rPr>
        <w:t>) to redeem, repurchase, defease or discharge the applicable debt securities, indebtedness or guarantees as of the Effective Time (for the avoidance of doubt, an extension of maturity is not materially less favorable) (each, as described in this clause (6), a “</w:t>
      </w:r>
      <w:r>
        <w:rPr>
          <w:rFonts w:ascii="Times New Roman;Times;serif" w:hAnsi="Times New Roman;Times;serif"/>
          <w:color w:val="000000"/>
          <w:sz w:val="18"/>
          <w:u w:val="single"/>
        </w:rPr>
        <w:t>Permitted Company Debt Modification</w:t>
      </w:r>
      <w:r>
        <w:rPr>
          <w:rFonts w:ascii="Times New Roman;Times;serif" w:hAnsi="Times New Roman;Times;serif"/>
          <w:color w:val="000000"/>
          <w:sz w:val="18"/>
        </w:rPr>
        <w:t xml:space="preserve">”); and (7) discharges and cancellations of indebtedness for borrowed money, debt securities or guarantees at maturity; or (B) incur any Lien on any of its material property or material assets other than (i) in the ordinary course of business consistent with past practice, (ii) in connection with indebtedness permitted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of this </w:t>
      </w:r>
      <w:r>
        <w:rPr>
          <w:rFonts w:ascii="Times New Roman;Times;serif" w:hAnsi="Times New Roman;Times;serif"/>
          <w:color w:val="000000"/>
          <w:sz w:val="18"/>
          <w:u w:val="single"/>
        </w:rPr>
        <w:t>Section 4.2(a)(xi)</w:t>
      </w:r>
      <w:r>
        <w:rPr>
          <w:rFonts w:ascii="Times New Roman;Times;serif" w:hAnsi="Times New Roman;Times;serif"/>
          <w:color w:val="000000"/>
          <w:sz w:val="18"/>
        </w:rPr>
        <w:t xml:space="preserve">, (iii) Company Permitted Encumbrances, or (iv) other Liens securing obligations in an aggregate amount not to exceed $5,000,000 at any time outstanding;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(xii) excluding increases in compensation or benefits required pursuant to the terms of any Company Plan in effect on the date hereof, (A) other than in the case of renewals of Company Plans that affect employees generally and that are in the ordinary course of business consistent with past practice, adopt, amend or terminate any material Company Plan;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may enter into (x) any Contract with any individual independent contractor for payment of less than $250,000 in a calendar year in the ordinary course of business consistent with past practice or (y) in the ordinary course of business consistent with past practice, offer letters, employment agreements and similar arrangements with employees below the level of Vice President that do not provide for severance (other than severance provided pursuant to the terms of Company Plans in effect as of the date hereof or as required by applicable Legal Requirements); (B) accelerate the vesting or payment of the compensation or benefits of any current or former director, employee or individual independent contractor of the Company or any Company Subsidiary; (C) increase the compensation or benefits of any current or former director or employee of the Company or any Company Subsidiary, except for off-cycle salary or wage increases in the ordinary course of business consistent with past practice; (D) grant any rights to severance, retention, change in control or termination pay to any current or former director, employee or other individual service provider of the Company or any Company Subsidiary, other than (1) pursuant to the terms of Company Plans or individual Contracts in effect as of the date hereof, or (2) in the case of severance or termination pay, as required by applicable Legal Requirements; (E) hire or promote any employee, except (1) hiring up to thirty (30) net new employees below the level of Vice President, taking into account departures and back-fills, or (2) with respect to employees below the level of Vice President, promotions made in the ordinary course of business consistent with past practice (including annual promotion cycles); (F) terminate the employment of any employee at or above the level of Vice President; or (G) terminate the employment of 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3" w:name="ny20081083x2_defm14a_300-annexa_pg28"/>
        <w:bookmarkEnd w:id="28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employee below the level of Vice President (other than (1) for cause or (2) in the ordinary course of business consistent with past practice, in connection with performance, reorganization or workforce planning, and provided that any severance or other payments are made pursuant to the terms of Company Plans or individual agreements in effect as of the date hereof or otherwise permitted under this clause (xii));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(xiii) (A) modify, extend, or enter into any labor agreement, collective bargaining agreement or any other labor-related agreements or arrangements with any labor union, labor organization or works council, or (B) voluntarily recognize or certify any labor union, labor organization, works council, or group of employees of the Company or any Company Subsidiary as the bargaining representative for any employees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(xiv) (A) waive, release, or amend the restrictive covenant obligations of any current or former director, officer, or employee at the level of Vice President or above of the Company or any Company Subsidiary, or (B) waive, release or amend non-disclosure or confidentiality obligations of any current or former director, officer or employee of the Company or any Company Subsidiary;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(xv) engage in any “plant closing,” “mass layoff” or similar act requiring notice under the Worker Adjustment and Retraining Notification Act of 1988 or any similar federal, state or local Law (whether foreign or domestic);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(xvi) (A) other than in the ordinary course of business consistent with past practice, grant any material refunds or credits (excluding rebates) to any customer or distributor, (B) materially accelerate, or materially alter practices and policies relating to, the rate of collection of accounts receivable or payment of accounts payable, or (C) take any action with the intention of materially increasing channel inventory relative to revenue;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(xvii) (A) enter into any Contract with any customer, distributor or supplier that would constitute a Company Material Contract if in effect as of the date of this Agreement under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(B) renew or extend any Contract that is a Company Material Contract or would constitute a Company Material Contract if in effect as of the date of this Agreement under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(m)</w:t>
      </w:r>
      <w:r>
        <w:rPr>
          <w:rFonts w:ascii="Times New Roman;Times;serif" w:hAnsi="Times New Roman;Times;serif"/>
          <w:color w:val="000000"/>
          <w:sz w:val="18"/>
        </w:rPr>
        <w:t xml:space="preserve"> of the definition thereof, where payments to or from the counterparty in a fiscal year exceed $15,000,000; (C) exercise or permit to lapse (whether or not in accordance with its terms) any option under the Contracts listed on </w:t>
      </w:r>
      <w:r>
        <w:rPr>
          <w:rFonts w:ascii="Times New Roman;Times;serif" w:hAnsi="Times New Roman;Times;serif"/>
          <w:color w:val="000000"/>
          <w:sz w:val="18"/>
          <w:u w:val="single"/>
        </w:rPr>
        <w:t>Section 4.2(a)(xvii)(C)</w:t>
      </w:r>
      <w:r>
        <w:rPr>
          <w:rFonts w:ascii="Times New Roman;Times;serif" w:hAnsi="Times New Roman;Times;serif"/>
          <w:color w:val="000000"/>
          <w:sz w:val="18"/>
        </w:rPr>
        <w:t xml:space="preserve"> of the Company Disclosure Schedule with an associated value of $20,000,000 or more associated with the licensing of or grant of rights with respect to products or technology; or (D) except in the ordinary course of business consistent with past practice, or where payments under the applicable Contract (individual Contract or series of related Contracts) to or from a counterparty do not exceed $5,000,000, (1) enter into or become bound by any Contract that would constitute a Company Material Contract if in effect as of the date of this Agreement, (2) renew, extend, amend in any material respect, any Company Material Contract, or (3) voluntarily terminate any Company Material Contract; </w:t>
      </w:r>
      <w:r>
        <w:rPr>
          <w:rFonts w:ascii="Times New Roman;Times;serif" w:hAnsi="Times New Roman;Times;serif"/>
          <w:i/>
          <w:color w:val="000000"/>
          <w:sz w:val="18"/>
        </w:rPr>
        <w:t>provided</w:t>
      </w:r>
      <w:r>
        <w:rPr>
          <w:rFonts w:ascii="Times New Roman;Times;serif" w:hAnsi="Times New Roman;Times;serif"/>
          <w:color w:val="000000"/>
          <w:sz w:val="18"/>
        </w:rPr>
        <w:t xml:space="preserve">, in each case of </w:t>
      </w:r>
      <w:r>
        <w:rPr>
          <w:rFonts w:ascii="Times New Roman;Times;serif" w:hAnsi="Times New Roman;Times;serif"/>
          <w:color w:val="000000"/>
          <w:sz w:val="18"/>
          <w:u w:val="single"/>
        </w:rPr>
        <w:t>clause (A), (B)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(D)</w:t>
      </w:r>
      <w:r>
        <w:rPr>
          <w:rFonts w:ascii="Times New Roman;Times;serif" w:hAnsi="Times New Roman;Times;serif"/>
          <w:color w:val="000000"/>
          <w:sz w:val="18"/>
        </w:rPr>
        <w:t xml:space="preserve">, any Contract that addresses subject matter for which Parent’s consent would be required, or is expressly permitted, pursuant to another clause under this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shall be governed by such other clause hereof, and no separate consent shall be required under this </w:t>
      </w:r>
      <w:r>
        <w:rPr>
          <w:rFonts w:ascii="Times New Roman;Times;serif" w:hAnsi="Times New Roman;Times;serif"/>
          <w:color w:val="000000"/>
          <w:sz w:val="18"/>
          <w:u w:val="single"/>
        </w:rPr>
        <w:t>clause (xvii)</w:t>
      </w:r>
      <w:r>
        <w:rPr>
          <w:rFonts w:ascii="Times New Roman;Times;serif" w:hAnsi="Times New Roman;Times;serif"/>
          <w:color w:val="000000"/>
          <w:sz w:val="18"/>
        </w:rPr>
        <w:t xml:space="preserve"> for the entry into a Contract effecting such action, to the extent the provisions of such Contract would customarily form part of the subject matter of the Contract effecting such matter;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(xviii) change any of its methods of financial accounting or accounting practices in any material respect other than as required by changes in GAAP, the SEC or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(xix) other than in the ordinary course of business consistent with past practice or as required by GAAP, revalue in any material respect any of its properties or assets, including writing-off notes or accounts receivable;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(xx) make, change or revoke any material Tax election other than any election made in the ordinary course of business on an otherwise required income Tax Return that is consistent with past practice or required by applicable Legal Requirements, change or adopt any material Tax accounting period or material method of Tax accounting other than as required by applicable Legal Requirements or GAAP, file any amended material Company Return if such amendment would reasonably be expected to result in a Tax liability other than an amendment required by applicable Legal Requirements or to correct a clear administrative or computational error, file any material Company Return in a manner inconsistent with past practice except as required by applicable Legal Requirements, applicable administrative guidance, or a good faith resolution of a Tax audit or controversy, incur any material liability for Taxes outside the ordinary course of business, settle or compromise any material liability for Taxes or any Tax audit, claim, or other proceeding relating to a material amount of Taxes (except to the extent that a reserve for such Taxes has been established in the financial statements contained or incorporated by reference into the Company SEC Documents), enter into any “closing agreement” within the meaning of Section 7121 of the Code (or any similar state, local or non-U.S. Legal Requirement) (except to the extent that a reserve for such Taxes has been established in the financial statements contained or incorporated by reference into the Company SEC Documents), enter into any Tax allocation agreement, Tax sharing agreement or Tax indemnification agreement in respect of a material amount of Tax other than: (A) customary tax provisions in ordinary course commercial agreements, the principal purpose of which is not related to Taxes; and (B) any agreement or arrangement solely between or among the Company and/or the Company Subsidiaries, request any Tax ruling from any Governmental Entity, surrender any right to claim a refund of Taxes, or, other than in the ordinary course of business, agree to an extension or waiver of the statute of limitations with respect to Taxes;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may agree to any such extension or waiver if failure to do so would reasonably be expected to result in an immediate assessment, deficiency notice, or similar adverse action by a taxing authority, or take any actions that could reasonably be expected to result in a material adverse impact on the matters set forth on </w:t>
      </w:r>
      <w:r>
        <w:rPr>
          <w:rFonts w:ascii="Times New Roman;Times;serif" w:hAnsi="Times New Roman;Times;serif"/>
          <w:color w:val="000000"/>
          <w:sz w:val="18"/>
          <w:u w:val="single"/>
        </w:rPr>
        <w:t xml:space="preserve">Section 4.2(a)(xx) </w:t>
      </w:r>
      <w:r>
        <w:rPr>
          <w:rFonts w:ascii="Times New Roman;Times;serif" w:hAnsi="Times New Roman;Times;serif"/>
          <w:color w:val="000000"/>
          <w:sz w:val="18"/>
        </w:rPr>
        <w:t xml:space="preserve">of the Company Disclosure Schedule;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4" w:name="ny20081083x2_defm14a_300-annexa_pg29"/>
        <w:bookmarkEnd w:id="28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(xxi) engage in any transaction with, or enter into any agreement, arrangement or understanding with, any Affiliate of the Company or other Person covered by Item 404 of Regulation S-K promulgated by the SEC that would be required to be disclosed pursuant to </w:t>
      </w:r>
      <w:r>
        <w:rPr>
          <w:rFonts w:ascii="Times New Roman;Times;serif" w:hAnsi="Times New Roman;Times;serif"/>
          <w:color w:val="000000"/>
          <w:sz w:val="18"/>
          <w:u w:val="single"/>
        </w:rPr>
        <w:t>Item 404</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(xxii) make any capital expenditure that is not contemplated by the capital expenditure budget (the “</w:t>
      </w:r>
      <w:r>
        <w:rPr>
          <w:rFonts w:ascii="Times New Roman;Times;serif" w:hAnsi="Times New Roman;Times;serif"/>
          <w:color w:val="000000"/>
          <w:sz w:val="18"/>
          <w:u w:val="single"/>
        </w:rPr>
        <w:t>Company CapEx Budget</w:t>
      </w:r>
      <w:r>
        <w:rPr>
          <w:rFonts w:ascii="Times New Roman;Times;serif" w:hAnsi="Times New Roman;Times;serif"/>
          <w:color w:val="000000"/>
          <w:sz w:val="18"/>
        </w:rPr>
        <w:t xml:space="preserve">”) set forth in </w:t>
      </w:r>
      <w:r>
        <w:rPr>
          <w:rFonts w:ascii="Times New Roman;Times;serif" w:hAnsi="Times New Roman;Times;serif"/>
          <w:color w:val="000000"/>
          <w:sz w:val="18"/>
          <w:u w:val="single"/>
        </w:rPr>
        <w:t>Section 4.2(a)(xxii)</w:t>
      </w:r>
      <w:r>
        <w:rPr>
          <w:rFonts w:ascii="Times New Roman;Times;serif" w:hAnsi="Times New Roman;Times;serif"/>
          <w:color w:val="000000"/>
          <w:sz w:val="18"/>
        </w:rPr>
        <w:t xml:space="preserve"> of the Company Disclosure Schedule (a “</w:t>
      </w:r>
      <w:r>
        <w:rPr>
          <w:rFonts w:ascii="Times New Roman;Times;serif" w:hAnsi="Times New Roman;Times;serif"/>
          <w:color w:val="000000"/>
          <w:sz w:val="18"/>
          <w:u w:val="single"/>
        </w:rPr>
        <w:t>Non-Budgeted Company Capital Expenditure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with respect to fiscal year 2027 or fiscal year 2028, the Company or any Company Subsidiary may make any Non-Budgeted Company Capital Expenditure that, when added to all other Non-Budgeted Company Capital Expenditures made by the Company and the Company Subsidiaries in the same fiscal year, would not, in the aggregate, exceed twenty percent (20%) of the aggregate Company CapEx Budget for such fiscal year;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(xxiii) settle or compromise any actual or threatened litigation, claim, suit, action or other Legal Proceeding, except for settlements or compromises that: (1) (A) involve solely monetary remedies with a value not in excess of $7,000,000 individually or $14,000,000 in the aggregate to be paid by the Company and the Company Subsidiaries, (B) do not impose any material restriction on Company IP that is material to the business of the Company and its Subsidiaries, the Company’s business or the business of the Company Subsidiaries or, after the Effective Time, Parent or its Subsidiaries, (C) do not relate to any litigation, claim, suit, action or proceeding by the Company’s stockholders in connection with this Agreement or the Merger, and (D) do not include an admission of wrongdoing or fault on the part of the Company or any Company Subsidiary; or (2) are pursuant to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(but subject to compliance with the requirements thereof);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(xxiv) commence any litigation or other claim, suit, action or proceeding with a value in excess of $7,000,000 individually or $14,000,000 in the aggregate, other than (A) any counterclaim, (B) claims to preserve, protect or enforce any Company IP or material assets of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in the case of this clause (B), with respect to material Company IP, the Company shall provide Parent with written notice thereof), or (C) to enforce the terms of this Agreement;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(xxv) (A) amend any Company Permits in a manner that adversely impacts the Company’s ability to conduct its business in any material respect or (B) terminate any material Company Permits;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(xxvi) enter into a new line of business that would materially change the business of the Company and the Company Subsidiaries, taken as a whole, or that is not reasonably related to the Company’s or the Company Subsidiaries’ existing lines of businesses;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(xxvii) convene any meeting of the Company’s stockholders to consider a proposal that would reasonably be expected to impair, prevent or delay the consummation of the transactions contemplated hereby, other than following or in connection with a Company Change in Recommendation subject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(xxviii) other than in the ordinary course of business consistent with past practice, materially reduce the amount of insurance coverage or terminate (unless in connection with replacing) any material existing insurance policies;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(xxix) authorize, approve, permit, offer or enter into any agreement or make any commitment to take any of the actions described in </w:t>
      </w:r>
      <w:r>
        <w:rPr>
          <w:rFonts w:ascii="Times New Roman;Times;serif" w:hAnsi="Times New Roman;Times;serif"/>
          <w:color w:val="000000"/>
          <w:sz w:val="18"/>
          <w:u w:val="single"/>
        </w:rPr>
        <w:t xml:space="preserve">clauses (i) </w:t>
      </w:r>
      <w:r>
        <w:rPr>
          <w:rFonts w:ascii="Times New Roman;Times;serif" w:hAnsi="Times New Roman;Times;serif"/>
          <w:color w:val="000000"/>
          <w:sz w:val="18"/>
        </w:rPr>
        <w:t xml:space="preserve">through (xxviii) of this sentence.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Notwithstanding </w:t>
      </w:r>
      <w:r>
        <w:rPr>
          <w:rFonts w:ascii="Times New Roman;Times;serif" w:hAnsi="Times New Roman;Times;serif"/>
          <w:color w:val="000000"/>
          <w:sz w:val="18"/>
          <w:u w:val="single"/>
        </w:rPr>
        <w:t>Section 4.6(a)(iv)</w:t>
      </w:r>
      <w:r>
        <w:rPr>
          <w:rFonts w:ascii="Times New Roman;Times;serif" w:hAnsi="Times New Roman;Times;serif"/>
          <w:color w:val="000000"/>
          <w:sz w:val="18"/>
        </w:rPr>
        <w:t xml:space="preserve">, or any other provisions to the contrary contained in this Agreement, without the prior written consent of Parent (not to be unreasonably withheld, conditioned or delayed), neither the Company nor any of its Subsidiaries or Affiliates will grant through a Contract any material accommodation or concession (financial or otherwise) to any third party to obtain its consent to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(i) nothing contained in this Agreement shall give (A) Parent, directly or indirectly, the right to control or direct the Company’s or the Company Subsidiaries’ operations prior to the Effective Time, or (B) the Company, directly or indirectly, the right to control or direct Parent’s or the Parent Subsidiaries’ operations prior to the Effective Time, and (ii) with respect to any action that would otherwise require the prior written consent of Parent pursuant to this </w:t>
      </w:r>
      <w:r>
        <w:rPr>
          <w:rFonts w:ascii="Times New Roman;Times;serif" w:hAnsi="Times New Roman;Times;serif"/>
          <w:color w:val="000000"/>
          <w:sz w:val="18"/>
          <w:u w:val="single"/>
        </w:rPr>
        <w:t>Section 4.2</w:t>
      </w:r>
      <w:r>
        <w:rPr>
          <w:rFonts w:ascii="Times New Roman;Times;serif" w:hAnsi="Times New Roman;Times;serif"/>
          <w:color w:val="000000"/>
          <w:sz w:val="18"/>
        </w:rPr>
        <w:t xml:space="preserve">, the Company may request such consent by delivering a written request (including by electronic mail) to Parent, and Parent shall respond to such request in writing (including by return electronic mail) as promptly as practicable. Prior to the Effective Time, each of Parent and the Company shall exercise, consistent with the terms and conditions of this Agreement, complete control and supervision over its and its respective Subsidiaries’ businesses, assets, and operations. </w:t>
      </w:r>
    </w:p>
    <w:p>
      <w:pPr>
        <w:pStyle w:val="TextBody"/>
        <w:bidi w:val="0"/>
        <w:spacing w:before="170" w:after="283"/>
        <w:ind w:left="0" w:right="0" w:firstLine="400"/>
        <w:jc w:val="left"/>
        <w:rPr>
          <w:rFonts w:ascii="Times New Roman;Times;serif" w:hAnsi="Times New Roman;Times;serif"/>
          <w:color w:val="000000"/>
          <w:sz w:val="18"/>
        </w:rPr>
      </w:pPr>
      <w:bookmarkStart w:id="285" w:name="tANNX43"/>
      <w:bookmarkEnd w:id="285"/>
      <w:r>
        <w:rPr>
          <w:rFonts w:ascii="Times New Roman;Times;serif" w:hAnsi="Times New Roman;Times;serif"/>
          <w:color w:val="000000"/>
          <w:sz w:val="18"/>
        </w:rPr>
        <w:t>4.3 </w:t>
      </w:r>
      <w:r>
        <w:rPr>
          <w:rFonts w:ascii="Times New Roman;Times;serif" w:hAnsi="Times New Roman;Times;serif"/>
          <w:color w:val="000000"/>
          <w:sz w:val="18"/>
          <w:u w:val="single"/>
        </w:rPr>
        <w:t>Company No Solicitation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will not, and the Company shall cause each of its Subsidiaries not to, and shall direct and use reasonable best efforts to cause its and its Subsidiaries’ respective directors, officers and other Representatives not to, except as expressly permitted by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directly or indirectly: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(i) solicit, initiate, knowingly encourage or knowingly facilitate any inquiries regarding, or the submission or announcement by any Person (other than Parent or its Subsidiaries) of, any proposal or offer that constitutes, or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(ii) furnish or disclose any non-public information regarding the Company or any Company Subsidiary (other than to Parent and Parent’s Subsidiaries and their respective Representatives), or afford access to the Company’s or the Company Subsidiaries’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6" w:name="ny20081083x2_defm14a_300-annexa_pg30"/>
        <w:bookmarkEnd w:id="28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Representatives, businesses, assets, books, records or property (other than to Parent and Parent’s Subsidiaries and their respective Representatives), in each case, in connection with, or for the purpose of soliciting, initiating, knowingly encouraging, or knowingly facilitating, or in response to, any inquiry, proposal or offer that constitutes or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(iii) engage in, enter into, continue or otherwise participate in any discussions or negotiations with or otherwise knowingly encourage any effort by any Person (other than Parent, the Parent Subsidiaries or Parent’s Representatives) with respect to any Company Acquisition Proposal or any inquiry, proposal or offer that would reasonably be expected to lead to any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(iv) approve, adopt, recommend, agree to or enter into, or propose to approve, adopt, recommend, agree to or enter into, any letter of intent, term sheet, memorandum of understanding, or similar document, agreement, commitment, or agreement in principle with respect to any Company Acquisition Proposal, in each case whether written or oral, binding or nonbinding, or enter into any agreement or agreement in principle requiring the Company to abandon, terminate or fail to consummate the transactions contemplated hereby or breach its obligations under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(v) (A) amend or grant any waiver or release under any standstill or similar agreement (other than pursuant to a “fall-away” or other similar provision that causes such standstill or similar agreement to be automatically released, waived, modified or amended as a result of entering into this Agreement in and of itself) with respect to any class of equity securities of the Company or any of its Subsidiaries, or (B) approve any transaction under, or any third party becoming an “interested stockholder” under, Section 203 of the DGCL; or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(vi) authorize, resolve, agree or publicly announce or propose any intention to do any of the foregoing;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 this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shall not prohibit communications solely to request clarification of the terms and conditions of an unsolicited inquiry or proposal that did not result from a material breach of this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 xml:space="preserve">Section 4.3(c) </w:t>
      </w:r>
      <w:r>
        <w:rPr>
          <w:rFonts w:ascii="Times New Roman;Times;serif" w:hAnsi="Times New Roman;Times;serif"/>
          <w:color w:val="000000"/>
          <w:sz w:val="18"/>
        </w:rPr>
        <w:t xml:space="preserve">by the Company, any of its Subsidiaries or any of its or their respective Representatives, or to determine whether such inquiry or proposal constitutes a Company Acquisition Proposal (it being understood that any such communications shall not include the provision of any non-public information, shall not involve negotiations, and shall not involve any discussion of valuation or other material transaction terms); and (B) notwithstanding anything to the contrary contained in this Agreement, prior to obtaining the Required Company Stockholder Vote, the Company and the Company’s Representatives may engage or otherwise participate in discussions or negotiations with, and provide information to, any Person (or its Representatives) that has made a bona fide written Company Acquisition Proposal after the date hereof that did not result from any material breach of this </w:t>
      </w:r>
      <w:r>
        <w:rPr>
          <w:rFonts w:ascii="Times New Roman;Times;serif" w:hAnsi="Times New Roman;Times;serif"/>
          <w:color w:val="000000"/>
          <w:sz w:val="18"/>
          <w:u w:val="single"/>
        </w:rPr>
        <w:t xml:space="preserve">Section 4.3(a)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4.3(c)</w:t>
      </w:r>
      <w:r>
        <w:rPr>
          <w:rFonts w:ascii="Times New Roman;Times;serif" w:hAnsi="Times New Roman;Times;serif"/>
          <w:color w:val="000000"/>
          <w:sz w:val="18"/>
        </w:rPr>
        <w:t xml:space="preserve"> by the Company, any of its Subsidiaries or any of its or their respective Representatives if: (1) prior to taking any such action, the Company Board determines in good faith, after consultation with the Company’s outside legal counsel and its financial advisor, that such Company Acquisition Proposal either constitutes a Company Superior Proposal or would reasonably be expected to lead to a Company Superior Proposal and that failure to engage in such discussions or negotiations, or provide such information, would reasonably be expected to be inconsistent with the Company Board’s fiduciary duties to the Company and its stockholders under applicable Legal Requirements; and (2) prior to providing any information regarding the Company or any Subsidiary of the Company to such third party in response to such Company Acquisition Proposal, the Company receives from such third party (or there is then in effect with such party) an executed confidentiality agreement that contains nondisclosure provisions and such other terms (but that need not contain “standstill” or similar restrictions) that are at least as restrictive of such third party and no less favorable to the Company as the Non-Disclosure Agreement and that expressly permits compliance by the Company with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Prior to or substantially concurrently with providing any non-public information to such third party, the Company shall make such non-public information available to Parent (to the extent such non-public information has not been previously made available by the Company to Parent). The Company shall promptly (and in any event within 24 hours) inform Parent of the Company Board’s determination under the preceding </w:t>
      </w:r>
      <w:r>
        <w:rPr>
          <w:rFonts w:ascii="Times New Roman;Times;serif" w:hAnsi="Times New Roman;Times;serif"/>
          <w:color w:val="000000"/>
          <w:sz w:val="18"/>
          <w:u w:val="single"/>
        </w:rPr>
        <w:t>clause (1)</w:t>
      </w:r>
      <w:r>
        <w:rPr>
          <w:rFonts w:ascii="Times New Roman;Times;serif" w:hAnsi="Times New Roman;Times;serif"/>
          <w:color w:val="000000"/>
          <w:sz w:val="18"/>
        </w:rPr>
        <w:t xml:space="preserve"> and if the Company furnishes non-public information and/or enters into discussions or negotiations as provided for in this </w:t>
      </w:r>
      <w:r>
        <w:rPr>
          <w:rFonts w:ascii="Times New Roman;Times;serif" w:hAnsi="Times New Roman;Times;serif"/>
          <w:color w:val="000000"/>
          <w:sz w:val="18"/>
          <w:u w:val="single"/>
        </w:rPr>
        <w:t xml:space="preserve">Section 4.3(a) </w:t>
      </w:r>
      <w:r>
        <w:rPr>
          <w:rFonts w:ascii="Times New Roman;Times;serif" w:hAnsi="Times New Roman;Times;serif"/>
          <w:color w:val="000000"/>
          <w:sz w:val="18"/>
        </w:rPr>
        <w:t xml:space="preserve">and will keep Parent reasonably informed in writing, on a current basis (and, in any event, within 24 hours), of material changes to the status and terms of any such discussions or negotiations and any Company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the Company receives a Company Acquisition Proposal or any inquiry or request for information with respect to a Company Acquisition Proposal or that is reasonably likely to lead to a Company Acquisition Proposal, then the Company shall promptly (and in no event later than 24 hours after its receipt of such Company Acquisition Proposal or request) notify Parent in writing of such Company Acquisition Proposal or request (which notification shall include the identity of the Person making or submitting such request or Company Acquisition Proposal and unredacted copies of all correspondence and other written material (including all proposals, counterproposals and drafts of agreements) exchanged between the Company or any Company Subsidiary, on the one hand, and the Person making any such Company Acquisition Proposal, on the other hand, that describes any of the terms or conditions of, or is otherwise material and relates to such terms and conditions, such Company Acquisition Proposal (or, if not in writing, the material terms and conditions thereof)), and the Company shall thereafter keep Parent reasonably informed in writing, on a current basis (and, in any event, within one (1) Business Day), of the status of such Company Acquisition Proposal or request, including informing Parent of any material change to the terms of such Company Acquisition Proposal and providing unredacted copies of all written materials delivered by or to such Person relating to any such changes to such Company Acquisition Proposal.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and delivery of this Agreement (and in no event later than 24 hours after the public announcement of this Agreement), the Company shall, and shall cause each of its Subsidiaries and its and their respective Representatives to: (i) immediately cease and cause to be terminated, and shall not authorize or knowingly permit or knowingly encourage any of its or its Subsidiaries’ respective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87" w:name="ny20081083x2_defm14a_300-annexa_pg31"/>
        <w:bookmarkEnd w:id="28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Representatives to continue, any existing solicitation of, or discussions or negotiations with, any Person (other than Parent and Parent’s Representatives) relating to any Company Acquisition Proposal made on or prior to the date hereof and any access any such Persons may have to any physical or electronic data room relating to any potential Company Acquisition Proposal; and (ii) request that each Person (other than Parent and its Representatives) that has, prior to the date of this Agreement, executed a confidentiality agreement in connection with its consideration of a Company Acquisition Proposal, promptly return or destroy all non-public information furnished to such Person by or on behalf of the Company or any of the Company Subsidiaries prior to the date of this Agreement in accordance with the terms of such confidentiality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breach of the restrictions contained in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any of the Company Subsidiaries, or by any Representative of the Company or any Company Subsidiary, shall be deemed to be a breach of this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by the Company. </w:t>
      </w:r>
    </w:p>
    <w:p>
      <w:pPr>
        <w:pStyle w:val="TextBody"/>
        <w:bidi w:val="0"/>
        <w:spacing w:before="170" w:after="283"/>
        <w:ind w:left="0" w:right="0" w:firstLine="400"/>
        <w:jc w:val="left"/>
        <w:rPr>
          <w:rFonts w:ascii="Times New Roman;Times;serif" w:hAnsi="Times New Roman;Times;serif"/>
          <w:color w:val="000000"/>
          <w:sz w:val="18"/>
        </w:rPr>
      </w:pPr>
      <w:bookmarkStart w:id="288" w:name="tANNX44"/>
      <w:bookmarkEnd w:id="288"/>
      <w:r>
        <w:rPr>
          <w:rFonts w:ascii="Times New Roman;Times;serif" w:hAnsi="Times New Roman;Times;serif"/>
          <w:color w:val="000000"/>
          <w:sz w:val="18"/>
        </w:rPr>
        <w:t>4.4 </w:t>
      </w:r>
      <w:r>
        <w:rPr>
          <w:rFonts w:ascii="Times New Roman;Times;serif" w:hAnsi="Times New Roman;Times;serif"/>
          <w:color w:val="000000"/>
          <w:sz w:val="18"/>
          <w:u w:val="single"/>
        </w:rPr>
        <w:t>Proxy Statement</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(a) As promptly as reasonably practicable after the date of this Agreement (and in any event within 10 days thereafter), the Company shall prepare, in consultation with Parent, and cause to be filed with the SEC the Proxy Statement in preliminary form. (i) The Company shall use reasonable best efforts to cause the Proxy Statement to comply in all material respects with all applicable rules, regulations and requirements of the Exchange Act; (ii) each of the parties shall promptly notify the other upon receipt of, and cooperate with each other and use reasonable best efforts to respond to, any comments or requests of the SEC or its staff, including for any amendment or supplement to the Proxy Statement; (iii) each of the parties shall promptly provide the other party with copies of all written correspondence and a summary of all oral communications between it or its Representatives, on the one hand, and the SEC or its staff, on the other hand, relating to the Proxy Statement; and (iv) each of the parties shall cooperate with, and provide the other party with a reasonable opportunity to review and comment in advance on the Proxy Statement (including any amendments or supplements thereto and any Current Reports on Form 8-K filed in response to stockholder demands) and any substantive correspondence (including all responses to SEC comments), prior to filing with the SEC or mailing, and shall provide to the other a copy of all such filings or communications made with the SEC,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foregoing obligations under this </w:t>
      </w:r>
      <w:r>
        <w:rPr>
          <w:rFonts w:ascii="Times New Roman;Times;serif" w:hAnsi="Times New Roman;Times;serif"/>
          <w:color w:val="000000"/>
          <w:sz w:val="18"/>
          <w:u w:val="single"/>
        </w:rPr>
        <w:t>clause (iv)</w:t>
      </w:r>
      <w:r>
        <w:rPr>
          <w:rFonts w:ascii="Times New Roman;Times;serif" w:hAnsi="Times New Roman;Times;serif"/>
          <w:color w:val="000000"/>
          <w:sz w:val="18"/>
        </w:rPr>
        <w:t xml:space="preserve"> shall not apply with respect to any filing or communication to the extent that it relates to a Company Change in Recommendation or any Acquisition Proposal, in each case otherwise made in compliance with </w:t>
      </w:r>
      <w:r>
        <w:rPr>
          <w:rFonts w:ascii="Times New Roman;Times;serif" w:hAnsi="Times New Roman;Times;serif"/>
          <w:color w:val="000000"/>
          <w:sz w:val="18"/>
          <w:u w:val="single"/>
        </w:rPr>
        <w:t>Section 4.5</w:t>
      </w:r>
      <w:r>
        <w:rPr>
          <w:rFonts w:ascii="Times New Roman;Times;serif" w:hAnsi="Times New Roman;Times;serif"/>
          <w:color w:val="000000"/>
          <w:sz w:val="18"/>
        </w:rPr>
        <w:t>. Notwithstanding any other provision herein to the contrary, the Proxy Statement shall not be filed or mailed (as applicable), and no amendment or supplement (including by incorporation by reference) to the Proxy Statement shall be made, without the approval of both the Company and Parent, which approvals shall not be unreasonably withheld, conditioned or delayed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this approval right shall not apply with respect to information, filings or communications to the extent relating to a Company Change in Recommendation or Acquisition Proposal). The Company will, prior to filing the preliminary Proxy Statement, obtain all necessary consents of the Company Financial Advisor to permit the Company to include in the Proxy Statement the Company Financial Advisor Opinion.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promptly notify Parent of the time when the Company learns that the Proxy Statement will not be reviewed or that the SEC staff has no further comments thereon, or the time when any supplement or amendment has been filed. The Company shall cause the definitive Proxy Statement to be mailed to the Company’s stockholders as promptly as practicable after the date on which the Company learns that the Proxy Statement will not be reviewed or that the SEC staff has no further comments thereon. Each of the parties shall promptly furnish the other parties all information concerning such party, its Subsidiaries, directors, officers and (to the extent reasonably available to such party) stockholders that may be required by applicable Legal Requirements or reasonably requested by the other party or its Representatives in connection with any action contemplated by this </w:t>
      </w:r>
      <w:r>
        <w:rPr>
          <w:rFonts w:ascii="Times New Roman;Times;serif" w:hAnsi="Times New Roman;Times;serif"/>
          <w:color w:val="000000"/>
          <w:sz w:val="18"/>
          <w:u w:val="single"/>
        </w:rPr>
        <w:t>Section 4.4</w:t>
      </w:r>
      <w:r>
        <w:rPr>
          <w:rFonts w:ascii="Times New Roman;Times;serif" w:hAnsi="Times New Roman;Times;serif"/>
          <w:color w:val="000000"/>
          <w:sz w:val="18"/>
        </w:rPr>
        <w:t xml:space="preserve">. If, at any time prior to obtaining the Required Company Stockholder Vote, any party becomes aware of any information that should be disclosed in an amendment or supplement to the Proxy Statement in order to make any statement therein, in the light of the circumstances under which it is made, not false or misleading with respect to a material fact, or in order to avoid the omission of a material fact necessary to make the statements in the Proxy Statement not misleading, then such party: (A) shall promptly inform the other party thereof; (B) shall provide the other party (and its counsel) with a reasonable opportunity to review and comment on any amendment or supplement to the Proxy Statement prior to it being filed with the SEC; (C) shall provide the other party with a copy of such amendment or supplement promptly after it is filed with the SEC; and (D) if mailing is required by law or otherwise appropriate, shall cooperate in mailing such amendment or supplement to the stockholders of the Company. </w:t>
      </w:r>
    </w:p>
    <w:p>
      <w:pPr>
        <w:pStyle w:val="TextBody"/>
        <w:bidi w:val="0"/>
        <w:spacing w:before="160" w:after="283"/>
        <w:ind w:left="0" w:right="0" w:firstLine="400"/>
        <w:jc w:val="left"/>
        <w:rPr>
          <w:rFonts w:ascii="Times New Roman;Times;serif" w:hAnsi="Times New Roman;Times;serif"/>
          <w:color w:val="000000"/>
          <w:sz w:val="18"/>
        </w:rPr>
      </w:pPr>
      <w:bookmarkStart w:id="289" w:name="tANNX45"/>
      <w:bookmarkEnd w:id="289"/>
      <w:r>
        <w:rPr>
          <w:rFonts w:ascii="Times New Roman;Times;serif" w:hAnsi="Times New Roman;Times;serif"/>
          <w:color w:val="000000"/>
          <w:sz w:val="18"/>
        </w:rPr>
        <w:t>4.5 </w:t>
      </w:r>
      <w:r>
        <w:rPr>
          <w:rFonts w:ascii="Times New Roman;Times;serif" w:hAnsi="Times New Roman;Times;serif"/>
          <w:color w:val="000000"/>
          <w:sz w:val="18"/>
          <w:u w:val="single"/>
        </w:rPr>
        <w:t>Meeting of Company’s Stockholders; Company Change in Recommendation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(a) The Company: (i) shall take all action necessary under all applicable Legal Requirements and the Company’s Organizational Documents to, as promptly as reasonably practicable after the date on which the Company learns that the Proxy Statement will not be reviewed or that the SEC staff has no further comments thereon (and in any event within 30 days thereafter), duly call, give notice of and hold a meeting of the holders of shares of Company Common Stock to vote on (x) a proposal to adopt this Agreement, (y) unless mutually agreed otherwise by Parent and the Company, a proposal to adjourn or postpone the meeting, as applicable, and (z) if required by applicable Legal Requirement, the shareholder advisory vote contemplated by Rule 14a-21(c) under the Exchange Act (the “</w:t>
      </w:r>
      <w:r>
        <w:rPr>
          <w:rFonts w:ascii="Times New Roman;Times;serif" w:hAnsi="Times New Roman;Times;serif"/>
          <w:color w:val="000000"/>
          <w:sz w:val="18"/>
          <w:u w:val="single"/>
        </w:rPr>
        <w:t>Company Stockholder Meeting</w:t>
      </w:r>
      <w:r>
        <w:rPr>
          <w:rFonts w:ascii="Times New Roman;Times;serif" w:hAnsi="Times New Roman;Times;serif"/>
          <w:color w:val="000000"/>
          <w:sz w:val="18"/>
        </w:rPr>
        <w:t xml:space="preserve">”); and (ii) shall submit such proposals to, and,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use reasonable best efforts to solicit proxies in favor of such proposals from, such holders at the Company Stockholder Meeting, and the Company shall not submit any other proposal to its stockholders in connection with the Company Stockholder Meeting without the prior written consent of Parent. The Company, in consultation with Parent, shall set a record date for determining the Persons entitled to notice of, and to vote at, the Company Stockholder Meeting. The Company shall ensure that all proxies solicited in connection with the Company Stockholder Meeting are solicited in compliance with all applicable Legal Requirements. Notwithstanding anything to the contrary contained in this Agreement, (A) the Company shall not postpone or adjourn the Company Stockholder Meeting without the prior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0" w:name="ny20081083x2_defm14a_300-annexa_pg32"/>
        <w:bookmarkEnd w:id="29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written consent of Parent, other than: (1) to the extent reasonably necessary to ensure that any supplement or amendment to the Proxy Statement that the Company Board has determined in good faith after consultation with outside counsel is required by applicable Legal Requirements is disclosed to the Company’s stockholders and for such supplement or amendment to be promptly disseminated to the Company’s stockholders within a reasonable amount of time (as determined by the Company Board in good faith after consultation with outside counsel) prior to the Company Stockholder Meeting; (2) if required by applicable Legal Requirement or a request from the SEC or its staff; or (3) if as of the time for which the Company Stockholder Meeting is scheduled there are insufficient shares of Company Common Stock represented (either in person or by proxy) to constitute a quorum necessary to conduct the business to be conducted at the Company Stockholder Meeting; and (B) the Company may, and if Parent so requests at any time prior to the date that is four months from the date on which the Company learns that the Proxy Statement will not be reviewed or that the SEC staff has no further comments thereon, shall, postpone or adjourn the Company Stockholder Meeting in order to solicit additional proxies in favor of the adoption of this Agreement if, on the date for which the Company Stockholder Meeting is scheduled, there would be insufficient votes to obtain the Required Company Stockholder Vote, whether or not a quorum is present, in which case, except in the case where the Company Board has made a Company Change in Recommendation in compliance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the Company shall use reasonable best efforts during any such postponement or adjournment to solicit and obtain such proxies in favor of the adoption of this Agreement as soon as reasonably practicable; </w:t>
      </w:r>
      <w:r>
        <w:rPr>
          <w:rFonts w:ascii="Times New Roman;Times;serif" w:hAnsi="Times New Roman;Times;serif"/>
          <w:i/>
          <w:color w:val="000000"/>
          <w:sz w:val="18"/>
        </w:rPr>
        <w:t xml:space="preserve">provided, that, </w:t>
      </w:r>
      <w:r>
        <w:rPr>
          <w:rFonts w:ascii="Times New Roman;Times;serif" w:hAnsi="Times New Roman;Times;serif"/>
          <w:color w:val="000000"/>
          <w:sz w:val="18"/>
        </w:rPr>
        <w:t xml:space="preserve">without the prior written consent of Parent (not to be unreasonably withheld, in the cases of </w:t>
      </w:r>
      <w:r>
        <w:rPr>
          <w:rFonts w:ascii="Times New Roman;Times;serif" w:hAnsi="Times New Roman;Times;serif"/>
          <w:color w:val="000000"/>
          <w:sz w:val="18"/>
          <w:u w:val="single"/>
        </w:rPr>
        <w:t>clauses (A)(1)</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(A)(2)</w:t>
      </w:r>
      <w:r>
        <w:rPr>
          <w:rFonts w:ascii="Times New Roman;Times;serif" w:hAnsi="Times New Roman;Times;serif"/>
          <w:color w:val="000000"/>
          <w:sz w:val="18"/>
        </w:rPr>
        <w:t xml:space="preserve">) (x) any such adjournments or postponements shall be only for the minimum duration reasonably necessary (and for adjournments and postponements under </w:t>
      </w:r>
      <w:r>
        <w:rPr>
          <w:rFonts w:ascii="Times New Roman;Times;serif" w:hAnsi="Times New Roman;Times;serif"/>
          <w:color w:val="000000"/>
          <w:sz w:val="18"/>
          <w:u w:val="single"/>
        </w:rPr>
        <w:t>clause (A)(3)</w:t>
      </w:r>
      <w:r>
        <w:rPr>
          <w:rFonts w:ascii="Times New Roman;Times;serif" w:hAnsi="Times New Roman;Times;serif"/>
          <w:color w:val="000000"/>
          <w:sz w:val="18"/>
        </w:rPr>
        <w:t xml:space="preserve"> no more than five (5) Business Days each time) to accomplish the applicable purpose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xml:space="preserve">, (y) all such adjournments and postponements taken together shall not cause the date of the Company Stockholder Meeting to be more than twenty (20) Business Days after the date for which the Company Stockholder Meeting was originally scheduled, unless otherwise required by applicable Legal Requirements, and (z) in no event shall the Company Stockholder Meeting be adjourned or postponed to a date that is less than five (5) Business Days prior to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(b) Subject to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the Proxy Statement shall include the Company Board Recommendation. Neither the Company Board nor any committee thereof shall, except as otherwise expressly permitted by this Agreement, including by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(i) fail to make, withhold, withdraw, modify, amend or qualify (or publicly propose to withhold, withdraw, modify, amend or qualify) the Company Board Recommendation in a manner adverse to Parent or Merger Sub, or fail to include the Company Board Recommendation in the Proxy Statement; (ii) approve, endorse, adopt, recommend or declare advisable (or publicly propose to do so) any Company Acquisition Proposal; (iii) fail to publicly recommend against acceptance of, within ten (10) Business Days after a tender offer or exchange offer relating to the equity securities of the Company shall have been commenced under the Exchange Act by any third party other than Parent and its Affiliates, such tender offer or exchange offer (for the avoidance of doubt, the taking of no position or a neutral position by the Company Board in respect of the acceptance of any such tender offer or exchange offer as of the end of such period shall constitute a failure to so recommend against, it being understood that any “stop, look and listen” statements contemplated by </w:t>
      </w:r>
      <w:r>
        <w:rPr>
          <w:rFonts w:ascii="Times New Roman;Times;serif" w:hAnsi="Times New Roman;Times;serif"/>
          <w:color w:val="000000"/>
          <w:sz w:val="18"/>
          <w:u w:val="single"/>
        </w:rPr>
        <w:t xml:space="preserve">Section 4.5(f)(i) </w:t>
      </w:r>
      <w:r>
        <w:rPr>
          <w:rFonts w:ascii="Times New Roman;Times;serif" w:hAnsi="Times New Roman;Times;serif"/>
          <w:color w:val="000000"/>
          <w:sz w:val="18"/>
        </w:rPr>
        <w:t xml:space="preserve">shall not constitute a failure to recommend against under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or (iv) if requested by Parent, fail to issue, within (x) ten (10) Business Days after a tender offer or exchange offer constituting a Company Acquisition Proposal is commenced under the Exchange Act or (y) five (5) Business Days after any other Company Acquisition Proposal is publicly announced or after any material modification of any Company Acquisition Proposal (and in no event later than five (5) Business Days prior to the date of the Company Stockholder Meeting, as it may be postponed or adjourned pursuant to </w:t>
      </w:r>
      <w:r>
        <w:rPr>
          <w:rFonts w:ascii="Times New Roman;Times;serif" w:hAnsi="Times New Roman;Times;serif"/>
          <w:color w:val="000000"/>
          <w:sz w:val="18"/>
          <w:u w:val="single"/>
        </w:rPr>
        <w:t>Section 4.5(a)</w:t>
      </w:r>
      <w:r>
        <w:rPr>
          <w:rFonts w:ascii="Times New Roman;Times;serif" w:hAnsi="Times New Roman;Times;serif"/>
          <w:color w:val="000000"/>
          <w:sz w:val="18"/>
        </w:rPr>
        <w:t xml:space="preserve">), a press release reaffirming without qualification the Company Board Recommendation (any action described in </w:t>
      </w:r>
      <w:r>
        <w:rPr>
          <w:rFonts w:ascii="Times New Roman;Times;serif" w:hAnsi="Times New Roman;Times;serif"/>
          <w:color w:val="000000"/>
          <w:sz w:val="18"/>
          <w:u w:val="single"/>
        </w:rPr>
        <w:t xml:space="preserve">clauses (i) </w:t>
      </w:r>
      <w:r>
        <w:rPr>
          <w:rFonts w:ascii="Times New Roman;Times;serif" w:hAnsi="Times New Roman;Times;serif"/>
          <w:color w:val="000000"/>
          <w:sz w:val="18"/>
        </w:rPr>
        <w:t xml:space="preserve">through </w:t>
      </w:r>
      <w:r>
        <w:rPr>
          <w:rFonts w:ascii="Times New Roman;Times;serif" w:hAnsi="Times New Roman;Times;serif"/>
          <w:color w:val="000000"/>
          <w:sz w:val="18"/>
          <w:u w:val="single"/>
        </w:rPr>
        <w:t>(iv)</w:t>
      </w:r>
      <w:r>
        <w:rPr>
          <w:rFonts w:ascii="Times New Roman;Times;serif" w:hAnsi="Times New Roman;Times;serif"/>
          <w:color w:val="000000"/>
          <w:sz w:val="18"/>
        </w:rPr>
        <w:t xml:space="preserve"> being referred to as a “</w:t>
      </w:r>
      <w:r>
        <w:rPr>
          <w:rFonts w:ascii="Times New Roman;Times;serif" w:hAnsi="Times New Roman;Times;serif"/>
          <w:color w:val="000000"/>
          <w:sz w:val="18"/>
          <w:u w:val="single"/>
        </w:rPr>
        <w:t>Company Change in Recommendation</w:t>
      </w:r>
      <w:r>
        <w:rPr>
          <w:rFonts w:ascii="Times New Roman;Times;serif" w:hAnsi="Times New Roman;Times;serif"/>
          <w:color w:val="000000"/>
          <w:sz w:val="18"/>
        </w:rPr>
        <w:t xml:space="preserve">”); (v) cause or permit the Company or any Company Subsidiary to enter into any merger agreement, acquisition agreement, share purchase agreement, asset purchase agreement, letter of intent, memorandum of understanding, agreement in principle or other similar Contract (whether or not binding) that relates to, or would reasonably be expected to result in, a Company Acquisition Transaction (other than a confidentiality agreement entered into in compliance with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(vi) take any action to make the provisions of any anti-takeover or similar statute or regulation inapplicable to any Company Acquisition Proposal or counterparty thereto; or (vii) publicly propose, resolve or agree to do any of the foregoing.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(c) Notwithstanding anything to the contrary contained in this Agreement, at any time prior to obtaining the Required Company Stockholder Vote, the Company Board may make a Company Change in Recommendation related to a Company Acquisition Proposal and authorize the Company to terminate this Agreement to concurrently enter into a definitive agreement with respect to such Company Acquisition Proposal if and only if (x) the Company receives from a third party a bona fide written Company Acquisition Proposal after the date of this Agreement that has not been withdrawn and did not result from a material breach of </w:t>
      </w:r>
      <w:r>
        <w:rPr>
          <w:rFonts w:ascii="Times New Roman;Times;serif" w:hAnsi="Times New Roman;Times;serif"/>
          <w:color w:val="000000"/>
          <w:sz w:val="18"/>
          <w:u w:val="single"/>
        </w:rPr>
        <w:t>Section 4.3(a)</w:t>
      </w:r>
      <w:r>
        <w:rPr>
          <w:rFonts w:ascii="Times New Roman;Times;serif" w:hAnsi="Times New Roman;Times;serif"/>
          <w:color w:val="000000"/>
          <w:sz w:val="18"/>
        </w:rPr>
        <w:t xml:space="preserve"> and (y) prior to making such Company Change in Recommendation and/or authorizing the Company to terminate this Agreement to concurrently enter into a definitive agreement with respect to such Company Acquisition Proposal: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(i) the Company Board determines in good faith, after consultation with the Company’s outside legal counsel and its financial advisor, that such Company Acquisition Proposal constitutes a Company Superior Proposal and that failure to take such action would reasonably be expected to be inconsistent with the Company Board’s fiduciary duties to its stockholders under applicable Legal Requirements;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(ii) the Company delivers to Parent a written notice (the “</w:t>
      </w:r>
      <w:r>
        <w:rPr>
          <w:rFonts w:ascii="Times New Roman;Times;serif" w:hAnsi="Times New Roman;Times;serif"/>
          <w:color w:val="000000"/>
          <w:sz w:val="18"/>
          <w:u w:val="single"/>
        </w:rPr>
        <w:t>Company Superior Proposal Notice</w:t>
      </w:r>
      <w:r>
        <w:rPr>
          <w:rFonts w:ascii="Times New Roman;Times;serif" w:hAnsi="Times New Roman;Times;serif"/>
          <w:color w:val="000000"/>
          <w:sz w:val="18"/>
        </w:rPr>
        <w:t xml:space="preserve">”) no less than four (4) Business Days in advance stating that the Company Board intends to make a Company Change in Recommendation and/or terminate this Agreement to concurrently enter into a definitive agreement with respect to such Company Acquisition Proposal, which notice shall include the identity of the Person making such Company Acquisition Proposal, a copy of such proposal, a draft of the definitive agreement to be entered into in connection therewith (or, if not in writing, the material terms and conditions thereof);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A-29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1" w:name="ny20081083x2_defm14a_300-annexa_pg33"/>
        <w:bookmarkEnd w:id="29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(iii) (A) during the four (4) Business Day period commencing on the date of Parent’s receipt of such Company Superior Proposal Notice, if requested by Parent, the Company and its legal and financial advisors engage in good faith negotiations with Parent regarding a possible amendment of this Agreement so that the Company Acquisition Proposal that is the subject of the Company Superior Proposal Notice ceases to be a Company Superior Proposal; and (B) after the expiration of the negotiation period described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the Company Board determines in good faith, after consultation with its outside legal counsel and its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that such Company Acquisition Proposal continues to constitute a Company Superior Proposal;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if there is any change to any of the financial terms (including price or exchange ratio) or any other material terms of such Company Acquisition Proposal, the Company shall, in each case, be required to deliver to Parent an additional notice consistent with that described in </w:t>
      </w:r>
      <w:r>
        <w:rPr>
          <w:rFonts w:ascii="Times New Roman;Times;serif" w:hAnsi="Times New Roman;Times;serif"/>
          <w:color w:val="000000"/>
          <w:sz w:val="18"/>
          <w:u w:val="single"/>
        </w:rPr>
        <w:t xml:space="preserve">clause (ii) </w:t>
      </w:r>
      <w:r>
        <w:rPr>
          <w:rFonts w:ascii="Times New Roman;Times;serif" w:hAnsi="Times New Roman;Times;serif"/>
          <w:color w:val="000000"/>
          <w:sz w:val="18"/>
        </w:rPr>
        <w:t xml:space="preserve">above and a new negotiation period under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commence (except that the original four (4) Business Day notice period referred to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above shall be extended to ensure that at least two (2) Business Days remain therein), during which time the Company shall be required to comply with the requirements of this </w:t>
      </w:r>
      <w:r>
        <w:rPr>
          <w:rFonts w:ascii="Times New Roman;Times;serif" w:hAnsi="Times New Roman;Times;serif"/>
          <w:color w:val="000000"/>
          <w:sz w:val="18"/>
          <w:u w:val="single"/>
        </w:rPr>
        <w:t xml:space="preserve">Section 4.5(c)(iii) </w:t>
      </w:r>
      <w:r>
        <w:rPr>
          <w:rFonts w:ascii="Times New Roman;Times;serif" w:hAnsi="Times New Roman;Times;serif"/>
          <w:color w:val="000000"/>
          <w:sz w:val="18"/>
        </w:rPr>
        <w:t xml:space="preserve">anew with respect to such additional notice (but substituting the time periods therein with the foregoing two (2) Business Day period, as applicable);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(iv) in the case of the Company terminating this Agreement to concurrently enter into a definitive agreement with respect to a Company Superior Proposal, the Company shall have paid, or caused the payment of, to Parent the Company Termination Fee in accordance with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(d) Notwithstanding anything to the contrary contained in this Agreement, at any time prior to obtaining the Required Company Stockholder Vote, other than with respect to a Company Acquisition Proposal, the Company Board may make a Company Change in Recommendation if and only if any state of fact, event, change, effect, circumstance, occurrence or development, or combination thereof arises following the date of this Agreement that (i) was not known or reasonably foreseeable by the Company Board on or prior to the date of this Agreement (or, if known or reasonably foreseeable, the material consequences of which were not known or reasonably foreseeable by the Company Board on or prior to the date of this Agreement), (ii) is material to the Company and the Company Subsidiaries, taken as a whole, (iii) does not result from the Company’s material breach of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w:t>
      </w:r>
      <w:r>
        <w:rPr>
          <w:rFonts w:ascii="Times New Roman;Times;serif" w:hAnsi="Times New Roman;Times;serif"/>
          <w:color w:val="000000"/>
          <w:sz w:val="18"/>
          <w:u w:val="single"/>
        </w:rPr>
        <w:t xml:space="preserve">Section 4.3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and (iv) does not result from or relate to (A) a Company Acquisition Proposal or a Company Superior Proposal, (B) the public announcement, execution, or delivery of this Agreement, the identity of Parent or its Affiliates, or the public announcement, pendency or consummation of the transactions contemplated hereby (or the public announcement of any discussions among the parties related thereto) or (C) in each case in and of itself, any change in the trading price or trading volume of Company Common Stock or Parent Common Stock or the fact that the Company exceeds any internal or published projections, forecasts or estimates of its revenue, earnings or other financial performance or results of operations for any period (it being understood, however, that any underlying cause of any of the foregoing may be taken into account unless excluded pursuant to </w:t>
      </w:r>
      <w:r>
        <w:rPr>
          <w:rFonts w:ascii="Times New Roman;Times;serif" w:hAnsi="Times New Roman;Times;serif"/>
          <w:color w:val="000000"/>
          <w:sz w:val="18"/>
          <w:u w:val="single"/>
        </w:rPr>
        <w:t xml:space="preserve">clauses (A) </w:t>
      </w:r>
      <w:r>
        <w:rPr>
          <w:rFonts w:ascii="Times New Roman;Times;serif" w:hAnsi="Times New Roman;Times;serif"/>
          <w:color w:val="000000"/>
          <w:sz w:val="18"/>
        </w:rPr>
        <w:t xml:space="preserve">or </w:t>
      </w:r>
      <w:r>
        <w:rPr>
          <w:rFonts w:ascii="Times New Roman;Times;serif" w:hAnsi="Times New Roman;Times;serif"/>
          <w:color w:val="000000"/>
          <w:sz w:val="18"/>
          <w:u w:val="single"/>
        </w:rPr>
        <w:t>(B)</w:t>
      </w:r>
      <w:r>
        <w:rPr>
          <w:rFonts w:ascii="Times New Roman;Times;serif" w:hAnsi="Times New Roman;Times;serif"/>
          <w:color w:val="000000"/>
          <w:sz w:val="18"/>
        </w:rPr>
        <w:t>) (any such state of fact, event, change, effect, circumstance, occurrence, development, condition, circumstance, or combination thereof, being referred to as a “</w:t>
      </w:r>
      <w:r>
        <w:rPr>
          <w:rFonts w:ascii="Times New Roman;Times;serif" w:hAnsi="Times New Roman;Times;serif"/>
          <w:color w:val="000000"/>
          <w:sz w:val="18"/>
          <w:u w:val="single"/>
        </w:rPr>
        <w:t>Company Intervening Event</w:t>
      </w:r>
      <w:r>
        <w:rPr>
          <w:rFonts w:ascii="Times New Roman;Times;serif" w:hAnsi="Times New Roman;Times;serif"/>
          <w:color w:val="000000"/>
          <w:sz w:val="18"/>
        </w:rPr>
        <w:t xml:space="preserve">”); and, prior to making such Company Change in Recommendation, (1) the Company Board determines in good faith, after consultation with its outside legal counsel and its financial advisor, that, in light of such Company Intervening Event, a failure to effect a Company Change in Recommendation would reasonably be expected to be inconsistent with the Company Board’s fiduciary duties to its stockholders under applicable Legal Requirements; (2) not less than four (4) Business Days prior to the making of such Company Change in Recommendation, Parent receives a written notice from the Company confirming that the Company Board intends to effect such Company Change in Recommendation, specifying the reasons therefor in reasonable detail; (3) during such four (4) Business Day period, if requested by Parent, the Company and its legal and financial advisors engage in good faith negotiations with Parent to amend this Agreement in such a manner so that the Company Intervening Event no longer forms the basis for the Company Board to effect a Company Change in Recommendation; and (4) following the end of such four (4) Business Day period, the Company Board determines in good faith, after consultation with its outside legal counsel and financial advisor and after taking into account any amendments to this Agreement that Parent and Merger Sub have committed in writing to make as a result of the negotiations contemplated by </w:t>
      </w:r>
      <w:r>
        <w:rPr>
          <w:rFonts w:ascii="Times New Roman;Times;serif" w:hAnsi="Times New Roman;Times;serif"/>
          <w:color w:val="000000"/>
          <w:sz w:val="18"/>
          <w:u w:val="single"/>
        </w:rPr>
        <w:t>clause (3)</w:t>
      </w:r>
      <w:r>
        <w:rPr>
          <w:rFonts w:ascii="Times New Roman;Times;serif" w:hAnsi="Times New Roman;Times;serif"/>
          <w:color w:val="000000"/>
          <w:sz w:val="18"/>
        </w:rPr>
        <w:t xml:space="preserve"> above, that, in light of such Company Intervening Event, a failure to effect a Company Change in Recommendation would reasonably be expected to be inconsistent with the Company Board’s fiduciary duties to its stockholders under applicable Legal Requirements, even if such changes committed to in writing were to be given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(e) Notwithstanding any Company Change in Recommendation, unless this Agreement has been earlier terminated in accordance with </w:t>
      </w:r>
      <w:r>
        <w:rPr>
          <w:rFonts w:ascii="Times New Roman;Times;serif" w:hAnsi="Times New Roman;Times;serif"/>
          <w:color w:val="000000"/>
          <w:sz w:val="18"/>
          <w:u w:val="single"/>
        </w:rPr>
        <w:t xml:space="preserve">Section 6.1 </w:t>
      </w:r>
      <w:r>
        <w:rPr>
          <w:rFonts w:ascii="Times New Roman;Times;serif" w:hAnsi="Times New Roman;Times;serif"/>
          <w:color w:val="000000"/>
          <w:sz w:val="18"/>
        </w:rPr>
        <w:t xml:space="preserve">(including by the Company in order to concurrently enter into a definitive agreement with respect to a Company Superior Proposal), this Agreement shall be submitted to the holders of shares of Company Common Stock at the Company Stockholder Meeting for the purpose of voting on the adoption of this Agreement, and nothing contained in this Agreement shall be deemed to relieve the Company of such obligation.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(f) Nothing contained in this Agreement shall prohibit the Company, the Company Board or their Representatives from (i) taking and disclosing to the stockholders of the Company a position contemplated by Rule 14e-2(a) or complying with Rule 14d-9 promulgated under the Exchange Act or issuing a “stop, look and listen” statement to the stockholders of the Company pursuant to Rule 14d-9(f) promulgated under the Exchange Act pending disclosure of its position thereunder, or (ii) directing any Person (or the Representative of that Person) who makes a Company Acquisition Proposal to the provisions of this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either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or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no such communication or statement that would constitute a Company Change in Recommendation shall be permitted, made or taken except in accordance with </w:t>
      </w:r>
      <w:r>
        <w:rPr>
          <w:rFonts w:ascii="Times New Roman;Times;serif" w:hAnsi="Times New Roman;Times;serif"/>
          <w:color w:val="000000"/>
          <w:sz w:val="18"/>
          <w:u w:val="single"/>
        </w:rPr>
        <w:t>Section 4.5(c)</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4.5(d)</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2" w:name="ny20081083x2_defm14a_300-annexa_pg34"/>
        <w:bookmarkEnd w:id="29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293" w:name="tANNX46"/>
      <w:bookmarkEnd w:id="293"/>
      <w:r>
        <w:rPr>
          <w:rFonts w:ascii="Times New Roman;Times;serif" w:hAnsi="Times New Roman;Times;serif"/>
          <w:color w:val="000000"/>
          <w:sz w:val="18"/>
        </w:rPr>
        <w:t>4.6 </w:t>
      </w:r>
      <w:r>
        <w:rPr>
          <w:rFonts w:ascii="Times New Roman;Times;serif" w:hAnsi="Times New Roman;Times;serif"/>
          <w:color w:val="000000"/>
          <w:sz w:val="18"/>
          <w:u w:val="single"/>
        </w:rPr>
        <w:t>Filings; Other Actions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(a) Subject to the terms and conditions of this Agreement, each of the parties hereto shall cooperate with the other and use (and shall cause their respective Subsidiaries to use) their respective reasonable best efforts to: (i) take, or cause to be taken, all actions, and do, or cause to be done, all things, reasonably necessary to cause the conditions to Closing to be satisfied as promptly as reasonably practicable (and in any event no later than the End Date) and to consummate and make effective, as promptly as practicable, the transactions contemplated by this Agreement, including preparing and filing promptly and fully all documentation to effect all necessary and advisable filings, notifications, notices, petitions, statements, registrations, submissions of information, applications and other documents (including any required or recommended filings under applicable Antitrust Laws and FDI Laws) that are or may become necessary, proper or advisable in connection with the consummation of the transactions contemplated by this Agreement; (ii) obtain as promptly as reasonably practicable (and in any event no later than the End Date) all approvals, consents, clearances, expirations or terminations of waiting periods, registrations, permits, authorizations and other confirmations from any Governmental Entity or third party that are or may become necessary, proper or advisable to consummate the transactions contemplated by this Agreement; (iii) defend any lawsuits or other legal proceedings, whether judicial or administrative, challenging this Agreement or the consummation of the transactions contemplated by this Agreement; and (iv) subject to </w:t>
      </w:r>
      <w:r>
        <w:rPr>
          <w:rFonts w:ascii="Times New Roman;Times;serif" w:hAnsi="Times New Roman;Times;serif"/>
          <w:color w:val="000000"/>
          <w:sz w:val="18"/>
          <w:u w:val="single"/>
        </w:rPr>
        <w:t xml:space="preserve">Section 4.6(a) </w:t>
      </w:r>
      <w:r>
        <w:rPr>
          <w:rFonts w:ascii="Times New Roman;Times;serif" w:hAnsi="Times New Roman;Times;serif"/>
          <w:color w:val="000000"/>
          <w:sz w:val="18"/>
        </w:rPr>
        <w:t xml:space="preserve">of the Company Disclosure Schedule, obtain all necessary consents, approvals or waivers from third parties.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party shall use their respective reasonable best efforts to file, as soon as practicable and advisable after the date of this Agreement, all notices, reports and other documents required to be filed by such party with any Governmental Entity with respect to the Merger and the other transactions contemplated by this Agreement, and to submit as promptly as reasonably practicable any additional information requested by any such Governmental Entity. Without limiting the generality of the foregoing, each of Parent and the Company shall, in consultation and cooperation with the other and as promptly as practicable and advisable after the date of this Agreement, but in no event later than as required by applicable Legal Requirements, prepare and file, or pre-file with regard to any Governmental Entity that requires such pre-filing prior to any formal filing of, all notifications required under any Legal Requirement with respect to any other Antitrust Laws;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the avoidance of doubt, Parent and the Company previously filed relevant notifications required under the HSR Act on July 17, 2026, and were granted early termination of the HSR waiting period by the Federal Trade Commission on August 12, 2026. Parent and the Company shall use their respective reasonable best efforts to respond as promptly as reasonably practicable to any inquiries or requests for additional information or documentary material received from any state attorney general, antitrust authority or other Governmental Entity in connection with antitrust or related matters.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(c) Subject to the provisions of the Non-Disclosure Agreement, Parent and the Company each shall promptly supply the other with any information that may be required in order to effectuate any filings (including applications) pursuant to (and to otherwise comply with its obligations set forth in)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Each of Parent and the Company, as it deems advisable and necessary, may reasonably designate competitively sensitive material provided to the other as “outside counsel only” or with similar restrictions. Each of Parent and the Company may also reasonably redact the material as necessary to (i) comply with applicable Legal Requirements or (ii) prevent the loss of protection under the attorney-client privilege or the attorney work product doctrine. Such materials and the information contained therein shall be given only to the outside legal counsel of the recipient, or otherwise as the restriction indicates, and be subject to any additional confidentiality or joint defense agreement between the parties. Except where prohibited by applicable Legal Requirements or any Governmental Entity, and subject to the provisions of the Non-Disclosure Agreement, each of Parent and the Company shall: (i) consult with the other in good faith prior to taking a position with respect to any filing required or advisable pursuant to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4.6(b)</w:t>
      </w:r>
      <w:r>
        <w:rPr>
          <w:rFonts w:ascii="Times New Roman;Times;serif" w:hAnsi="Times New Roman;Times;serif"/>
          <w:color w:val="000000"/>
          <w:sz w:val="18"/>
        </w:rPr>
        <w:t xml:space="preserve">; (ii) permit the other to review and discuss in advance, and consider in good faith the views of the other in connection with, any analyses, appearances, presentations, memoranda, letters, responses to requests, briefs, white papers, arguments, opinions and proposals before making or submitting any of the foregoing to any Governmental Entity by or on behalf of any party in connection with any such filing or any Legal Proceeding in connection with this Agreement or the transactions contemplated hereby; (iii) coordinate with the other in preparing and exchanging such information; (iv) promptly provide the other party’s counsel with copies of all filings, notices, analyses, presentations, memoranda, letters, responses to requests, briefs, white papers, opinions, proposals and other submissions (and a summary of any oral presentations) made or submitted by such party with or to any Governmental Entity in connection with any filing required by </w:t>
      </w:r>
      <w:r>
        <w:rPr>
          <w:rFonts w:ascii="Times New Roman;Times;serif" w:hAnsi="Times New Roman;Times;serif"/>
          <w:color w:val="000000"/>
          <w:sz w:val="18"/>
          <w:u w:val="single"/>
        </w:rPr>
        <w:t>Section 4.6(a)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Section 4.6(b) </w:t>
      </w:r>
      <w:r>
        <w:rPr>
          <w:rFonts w:ascii="Times New Roman;Times;serif" w:hAnsi="Times New Roman;Times;serif"/>
          <w:color w:val="000000"/>
          <w:sz w:val="18"/>
        </w:rPr>
        <w:t xml:space="preserve">in connection with this Agreement or the transactions contemplated hereby; and (v) consult with the other party in advance of any substantive meeting, video conference or teleconference with any Governmental Entity or, in connection with any proceeding by a private party, with any other Person, and, to the extent not prohibited by the Governmental Entity or other Person, give the other party the reasonable opportunity to attend and participate in such substantive meetings, video conferences and teleconferences. Notwithstanding anything to the contrary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or elsewhere in this Agreement, Parent shall: (i) control, lead, direct, and implement the strategy for seeking and securing any actions or consents of any Governmental Entity under applicable Antitrust Laws or FDI Laws with respect to the transactions contemplated by this Agreement, including with respect to proposing, developing, or negotiating any Regulatory Remedies or any other commitments, consents or remedies with any Governmental Entity intended to avoid, resolve or lift a Relevant Legal Restraint or Legal Proceeding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consults with and considers in good faith any comments of the Company or its Representatives relating to such strategy), and coordinate any contacts with any Governmental Entity, </w:t>
      </w:r>
      <w:r>
        <w:rPr>
          <w:rFonts w:ascii="Times New Roman;Times;serif" w:hAnsi="Times New Roman;Times;serif"/>
          <w:i/>
          <w:color w:val="000000"/>
          <w:sz w:val="18"/>
        </w:rPr>
        <w:t>provided however</w:t>
      </w:r>
      <w:r>
        <w:rPr>
          <w:rFonts w:ascii="Times New Roman;Times;serif" w:hAnsi="Times New Roman;Times;serif"/>
          <w:color w:val="000000"/>
          <w:sz w:val="18"/>
        </w:rPr>
        <w:t xml:space="preserve">, that Parent shall not commit to or agree (or permit any of Parent’s Representatives to commit to or agree) with any Governmental Entity to stay, toll or extend any applicable waiting period under any applicable Antitrust Law without the prior written consent of the Company (such consent not to be unreasonably withheld, conditioned or delayed),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however, that Parent shall have the right to take the lead in all meetings, communications, discussions and negotiations with any Governmental Entity in connection with obtaining any such action or consent.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4" w:name="ny20081083x2_defm14a_300-annexa_pg35"/>
        <w:bookmarkEnd w:id="29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(d) Notwithstanding anything to the contrary in this Agreement, Parent shall use reasonable best efforts to take, or cause to be taken, all actions necessary to avoid or eliminate each and every impediment under applicable Antitrust Laws and FDI Laws to enable the parties to close the transaction as promptly as practicable, and in any event prior to the End Date, including using reasonable best efforts in connection with (i) proposing, negotiating, committing to and effecting, whether by consent decree, hold separate orders, or otherwise, to sell, divest, hold separate, lease, license, transfer, dispose of, commit to behavioral or conduct remedies, or otherwise encumber, limit or impair or take any other action with respect to Parent’s or any of its Affiliates’ ability to own or operate any assets, properties, businesses or product lines of Parent or any of its Affiliates or assets, properties, businesses or product lines of the Company or any of its Affiliates (“</w:t>
      </w:r>
      <w:r>
        <w:rPr>
          <w:rFonts w:ascii="Times New Roman;Times;serif" w:hAnsi="Times New Roman;Times;serif"/>
          <w:color w:val="000000"/>
          <w:sz w:val="18"/>
          <w:u w:val="single"/>
        </w:rPr>
        <w:t>Regulatory Remedies</w:t>
      </w:r>
      <w:r>
        <w:rPr>
          <w:rFonts w:ascii="Times New Roman;Times;serif" w:hAnsi="Times New Roman;Times;serif"/>
          <w:color w:val="000000"/>
          <w:sz w:val="18"/>
        </w:rPr>
        <w:t xml:space="preserve">”); and (ii) avoiding the entry of any permanent or preliminary injunction or other Order that would make consummation of the contemplated transaction unlawful or that would otherwise prevent or delay consummation of the contemplated transaction;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anything to the contrary set forth in this Agreement notwithstanding, (I) the Company and the Company Subsidiaries shall not enter into or make any consents, offers, agreements or commitments with respect to the actions contemplated by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except as and to the extent requested in writing by Parent, (II) no party shall be required pursuant to the foregoing to commit to or effect any action that is not conditioned upon the consummation of the Merger, and (III) nothing in this </w:t>
      </w:r>
      <w:r>
        <w:rPr>
          <w:rFonts w:ascii="Times New Roman;Times;serif" w:hAnsi="Times New Roman;Times;serif"/>
          <w:color w:val="000000"/>
          <w:sz w:val="18"/>
          <w:u w:val="single"/>
        </w:rPr>
        <w:t xml:space="preserve">Section 4.6(d) </w:t>
      </w:r>
      <w:r>
        <w:rPr>
          <w:rFonts w:ascii="Times New Roman;Times;serif" w:hAnsi="Times New Roman;Times;serif"/>
          <w:color w:val="000000"/>
          <w:sz w:val="18"/>
        </w:rPr>
        <w:t xml:space="preserve">or any other part of this Agreement shall require Parent or its Subsidiaries to offer or agree to any Regulatory Remedies or take any other action that, individually or in the aggregate, would have a material adverse effect on (A) the business or financial condition of the Company and its Subsidiaries, taken as a whole, or (B) the business or financial condition of the Parent and its Subsidiaries, taken as a whole, including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the benefits reasonably expected to be realized by Parent through the consummation of the Merger and the other transactions contemplated hereby, which effect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will be measured on a scale and size relative to the scale and size of the Company and its Subsidiaries, taken as a whole.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(e) In furtherance and not in limitation of the covenants of the parties contained in this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if any administrative or judicial action or proceeding, including any proceeding by a private party, is instituted (or threatened to be instituted) challenging any transaction contemplated by this Agreement as violative of any Antitrust Law, each of Parent and the Company, through the End Date, shall use reasonable best efforts to contest and resist any such action or proceeding and to have vacated, lifted, reversed or overturned any decree, judgment, injunction or other order, whether temporary, preliminary or permanent, that is in effect and that prohibits, prevents or restricts consummation of the transactions contemplated by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(f) Parent agrees that, prior to the earlier of the Effective Time and the termination of this Agreement pursuant to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it shall not, and shall ensure that none of Parent Subsidiaries or Affiliates shall, consummate, enter into any agreement providing for, or authorize, announce, commit to or approve, any investment, acquisition, business combination, merger or other transaction involving any Person or Persons that would reasonably be determined to compete with any of the Company or its Affiliates that would reasonably be expected to materially delay, materially impede or prevent the consummation of the transactions contemplated by this Agreement. </w:t>
      </w:r>
    </w:p>
    <w:p>
      <w:pPr>
        <w:pStyle w:val="TextBody"/>
        <w:bidi w:val="0"/>
        <w:spacing w:before="160" w:after="283"/>
        <w:ind w:left="0" w:right="0" w:firstLine="400"/>
        <w:jc w:val="left"/>
        <w:rPr>
          <w:rFonts w:ascii="Times New Roman;Times;serif" w:hAnsi="Times New Roman;Times;serif"/>
          <w:color w:val="000000"/>
          <w:sz w:val="18"/>
        </w:rPr>
      </w:pPr>
      <w:bookmarkStart w:id="295" w:name="tANNX47"/>
      <w:bookmarkEnd w:id="295"/>
      <w:r>
        <w:rPr>
          <w:rFonts w:ascii="Times New Roman;Times;serif" w:hAnsi="Times New Roman;Times;serif"/>
          <w:color w:val="000000"/>
          <w:sz w:val="18"/>
        </w:rPr>
        <w:t>4.7 </w:t>
      </w:r>
      <w:r>
        <w:rPr>
          <w:rFonts w:ascii="Times New Roman;Times;serif" w:hAnsi="Times New Roman;Times;serif"/>
          <w:color w:val="000000"/>
          <w:sz w:val="18"/>
          <w:u w:val="single"/>
        </w:rPr>
        <w:t>Merger Sub</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(a) During the period from the date of this Agreement through the earlier of the Effective Time or the date of termination of this Agreement, Merger Sub shall not engage in any activities of any nature except as provided in or contemplated by this Agreement and matters ancillary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(b) Parent shall ensure that Merger Sub duly performs, satisfies and discharges on a timely basis each of the covenants, obligations and liabilities of Merger Sub under this Agreement, and Parent shall be jointly and severally liable with Merger Sub for the due and timely performance and satisfaction of each such covenant, obligation and liability.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(c) Promptly following the execution of this Agreement, Parent shall execute and deliver, in accordance with the DGCL and in its capacity as the sole stockholder of Merger Sub, a written consent adopting this Agreement. </w:t>
      </w:r>
    </w:p>
    <w:p>
      <w:pPr>
        <w:pStyle w:val="TextBody"/>
        <w:bidi w:val="0"/>
        <w:spacing w:before="160" w:after="283"/>
        <w:ind w:left="0" w:right="0" w:firstLine="400"/>
        <w:jc w:val="left"/>
        <w:rPr>
          <w:rFonts w:ascii="Times New Roman;Times;serif" w:hAnsi="Times New Roman;Times;serif"/>
          <w:color w:val="000000"/>
          <w:sz w:val="18"/>
        </w:rPr>
      </w:pPr>
      <w:bookmarkStart w:id="296" w:name="tANNX48"/>
      <w:bookmarkEnd w:id="296"/>
      <w:r>
        <w:rPr>
          <w:rFonts w:ascii="Times New Roman;Times;serif" w:hAnsi="Times New Roman;Times;serif"/>
          <w:color w:val="000000"/>
          <w:sz w:val="18"/>
        </w:rPr>
        <w:t>4.8 </w:t>
      </w:r>
      <w:r>
        <w:rPr>
          <w:rFonts w:ascii="Times New Roman;Times;serif" w:hAnsi="Times New Roman;Times;serif"/>
          <w:color w:val="000000"/>
          <w:sz w:val="18"/>
          <w:u w:val="single"/>
        </w:rPr>
        <w:t>Publicity; Confidentiality</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(a) Parent and the Company shall consult with one another prior to issuing, and shall provide each other with the opportunity to review and comment upon, any public announcement, statement or other disclosure with respect to this Agreement or the Merger and shall not issue any such public announcement or statement without the other party’s written consent (not to be unreasonably withheld, conditioned or delayed), except as may be required by applicable Legal Requirement or by the rules and regulations of Nasdaq (in which event Parent or the Company, as applicable, shall endeavor, on a basis reasonable under the circumstances, to provide a meaningful opportunity to the other party to review and comment upon such public announcement or statement in advance, and shall give due consideration to all reasonable additions, deletions or changes suggested thereto by Parent or the Company, as applicable);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(i) each of the Company and Parent may make public announcements, statements or other disclosures concerning this Agreement or the Merger that consist solely of information previously disclosed in previous public announcements, statements or other disclosures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 each of the Company and Parent may make any public statements in response to questions by the press, analysts, investors or those participating in investor calls or industry conferences, and make internal announcements to employees, so long as such statements are consistent with (and not materially expansive of) information previously disclosed in previous press releases, public disclosures or public statements made by the Company and/or Parent in compliance with this </w:t>
      </w:r>
      <w:r>
        <w:rPr>
          <w:rFonts w:ascii="Times New Roman;Times;serif" w:hAnsi="Times New Roman;Times;serif"/>
          <w:color w:val="000000"/>
          <w:sz w:val="18"/>
          <w:u w:val="single"/>
        </w:rPr>
        <w:t>Section 4.8</w:t>
      </w:r>
      <w:r>
        <w:rPr>
          <w:rFonts w:ascii="Times New Roman;Times;serif" w:hAnsi="Times New Roman;Times;serif"/>
          <w:color w:val="000000"/>
          <w:sz w:val="18"/>
        </w:rPr>
        <w:t xml:space="preserve">, (iii) the Company need not consult with Parent in connection with any public announcement, statement or other disclosure to be issued or made with respect to any Acquisition Proposal or Company Change in Recommendation, in each case, in compliance with </w:t>
      </w:r>
      <w:r>
        <w:rPr>
          <w:rFonts w:ascii="Times New Roman;Times;serif" w:hAnsi="Times New Roman;Times;serif"/>
          <w:color w:val="000000"/>
          <w:sz w:val="18"/>
          <w:u w:val="single"/>
        </w:rPr>
        <w:t>Sections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4.5 </w:t>
      </w:r>
      <w:r>
        <w:rPr>
          <w:rFonts w:ascii="Times New Roman;Times;serif" w:hAnsi="Times New Roman;Times;serif"/>
          <w:color w:val="000000"/>
          <w:sz w:val="18"/>
        </w:rPr>
        <w:t xml:space="preserve">and (iv) neither party need consult with (or obtain the consent of) the other party in connection with any press release, public statement or filing in connection with any Legal Proceeding between the parties related to this Agreement or any of the transactions contemplated hereby.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7" w:name="ny20081083x2_defm14a_300-annexa_pg36"/>
        <w:bookmarkEnd w:id="29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(b) Notwithstanding anything therein to the contrary, the term of the Non-Disclosure Agreement, other than Section 11 thereof (the obligations of Semiconductor Components Industries, LLC under which terminated on June 25, 2026), shall be extended, as applicable, and the Non-Disclosure Agreement shall remain in full force and effect in accordance with its terms until the earlier of (i) the later of (I) the expiration of the Non-Disclosure Agreement pursuant to Section 18 thereof or (II) the date that is one (1) year following the termination of this Agreement and (ii) the Effective Time, at which time the Non-Disclosure Agreement shall automatically terminate without further action;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if the Non-Disclosure Agreement is terminated pursuant to the preceding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then any provisions that survive the termination of the Non-Disclosure Agreement pursuant to its terms shall so survive. All information subject to the Clean Team Agreement or the Joint Defense Agreement shall remain so subject. </w:t>
      </w:r>
    </w:p>
    <w:p>
      <w:pPr>
        <w:pStyle w:val="TextBody"/>
        <w:bidi w:val="0"/>
        <w:spacing w:before="160" w:after="283"/>
        <w:ind w:left="0" w:right="0" w:firstLine="400"/>
        <w:jc w:val="left"/>
        <w:rPr>
          <w:rFonts w:ascii="Times New Roman;Times;serif" w:hAnsi="Times New Roman;Times;serif"/>
          <w:color w:val="000000"/>
          <w:sz w:val="18"/>
        </w:rPr>
      </w:pPr>
      <w:bookmarkStart w:id="298" w:name="tANNX49"/>
      <w:bookmarkEnd w:id="298"/>
      <w:r>
        <w:rPr>
          <w:rFonts w:ascii="Times New Roman;Times;serif" w:hAnsi="Times New Roman;Times;serif"/>
          <w:color w:val="000000"/>
          <w:sz w:val="18"/>
        </w:rPr>
        <w:t>4.9 </w:t>
      </w:r>
      <w:r>
        <w:rPr>
          <w:rFonts w:ascii="Times New Roman;Times;serif" w:hAnsi="Times New Roman;Times;serif"/>
          <w:color w:val="000000"/>
          <w:sz w:val="18"/>
          <w:u w:val="single"/>
        </w:rPr>
        <w:t>Company ESPP; Other Employee Benefits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(a) To the extent not approved on or prior to the date of this Agreement, as soon as practicable following the date of this Agreement, the Company shall take such action as may be necessary to: (i) cause any offering period (or similar period during which shares may be purchased) underway as of the date hereof under the Company ESPP to be the final offering period under the Company ESPP, such that no new offering period will commence under the Company ESPP after the date hereof, and the current offering period underway shall be terminated no later than the Business Day immediately preceding the anticipated Closing Date (the “</w:t>
      </w:r>
      <w:r>
        <w:rPr>
          <w:rFonts w:ascii="Times New Roman;Times;serif" w:hAnsi="Times New Roman;Times;serif"/>
          <w:color w:val="000000"/>
          <w:sz w:val="18"/>
          <w:u w:val="single"/>
        </w:rPr>
        <w:t>Final Exercise Date</w:t>
      </w:r>
      <w:r>
        <w:rPr>
          <w:rFonts w:ascii="Times New Roman;Times;serif" w:hAnsi="Times New Roman;Times;serif"/>
          <w:color w:val="000000"/>
          <w:sz w:val="18"/>
        </w:rPr>
        <w:t>”), (ii) make any pro-rata adjustments that may be necessary to reflect the shortened offering period (or similar period), but otherwise treat such shortened offering period (or similar period) as a fully effective and completed offering period for all purposes under the Company ESPP, (iii) cause each participant’s outstanding purchase right under the Company ESPP (the “</w:t>
      </w:r>
      <w:r>
        <w:rPr>
          <w:rFonts w:ascii="Times New Roman;Times;serif" w:hAnsi="Times New Roman;Times;serif"/>
          <w:color w:val="000000"/>
          <w:sz w:val="18"/>
          <w:u w:val="single"/>
        </w:rPr>
        <w:t>Company ESPP Rights</w:t>
      </w:r>
      <w:r>
        <w:rPr>
          <w:rFonts w:ascii="Times New Roman;Times;serif" w:hAnsi="Times New Roman;Times;serif"/>
          <w:color w:val="000000"/>
          <w:sz w:val="18"/>
        </w:rPr>
        <w:t xml:space="preserve">”) to be exercised as of the Final Exercise Date, (iv) provide that no new participants enroll in the Company ESPP after the date hereof and that no current participant in the Company ESPP can increase his or her payroll deductions from those in effect on the date hereof, and (v) terminate the Company ESPP as of the Effective Time. On the Final Exercise Date, the funds credited as of such date under the Company ESPP within the associated accumulated payroll withholding account for each participant under the Company ESPP shall be used to purchase shares of Company Common Stock in accordance with the terms of the Company ESPP, and each share purchased thereunder immediately prior to the Effective Time shall be cancelled at the Effective Time and converted into the right to receive the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Any accumulated contributions of each participant under the Company ESPP as of immediately prior to the Effective Time shall, to the extent not used to purchase shares in accordance with the terms and conditions of the Company ESPP (as amended pursuant to this </w:t>
      </w:r>
      <w:r>
        <w:rPr>
          <w:rFonts w:ascii="Times New Roman;Times;serif" w:hAnsi="Times New Roman;Times;serif"/>
          <w:color w:val="000000"/>
          <w:sz w:val="18"/>
          <w:u w:val="single"/>
        </w:rPr>
        <w:t>Section 4.9(a)</w:t>
      </w:r>
      <w:r>
        <w:rPr>
          <w:rFonts w:ascii="Times New Roman;Times;serif" w:hAnsi="Times New Roman;Times;serif"/>
          <w:color w:val="000000"/>
          <w:sz w:val="18"/>
        </w:rPr>
        <w:t xml:space="preserve">), be refunded to such participant as promptly as practicable following the Effective Time (without interest). No further Company ESPP Rights shall be granted or exercised under the Company ESPP after the Final Exercise Date. The Company shall provide timely notice to participants of the setting of the Final Exercise Date and termination of the Company ESPP in accordance with the Company ESPP (such notices to be provided in advance to Parent for Parent’s review and comment no later than three (3) Business Days prior to the planned date of distribution of such notices to participants). Each participant in the Company ESPP who purchases shares thereunder on the Final Exercise Date shall have the right to receive their Merger Consideration in accordance with </w:t>
      </w:r>
      <w:r>
        <w:rPr>
          <w:rFonts w:ascii="Times New Roman;Times;serif" w:hAnsi="Times New Roman;Times;serif"/>
          <w:color w:val="000000"/>
          <w:sz w:val="18"/>
          <w:u w:val="single"/>
        </w:rPr>
        <w:t>Section 1.5(a)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(b) During the period commencing on the Closing Date and ending on the date that is twelve (12) months after the Closing Date, Parent shall, or shall cause one of its Subsidiaries (including the Surviving Corporation and the Surviving Corporation’s Subsidiaries) to provide: (i) each employee of the Company or any Company Subsidiary who continues employment with Parent or any of its Subsidiaries (including the Surviving Corporation and the Surviving Corporation’s Subsidiaries) after the Effective Time (a “</w:t>
      </w:r>
      <w:r>
        <w:rPr>
          <w:rFonts w:ascii="Times New Roman;Times;serif" w:hAnsi="Times New Roman;Times;serif"/>
          <w:color w:val="000000"/>
          <w:sz w:val="18"/>
          <w:u w:val="single"/>
        </w:rPr>
        <w:t>Continuing Employee</w:t>
      </w:r>
      <w:r>
        <w:rPr>
          <w:rFonts w:ascii="Times New Roman;Times;serif" w:hAnsi="Times New Roman;Times;serif"/>
          <w:color w:val="000000"/>
          <w:sz w:val="18"/>
        </w:rPr>
        <w:t xml:space="preserve">”) with an annual base salary or base wage rate and total target cash incentive opportunity (excluding equity and equity-based compensation opportunities) that is no less favorable in the aggregate than the annual base salary or base wage rate and total target cash incentive opportunity (excluding equity and equity-based compensation opportunities) that was provided to such Continuing Employee by the Company and the Company Subsidiaries immediately prior to the Effective Time and (ii) each Continuing Employee with employee benefits (excluding any benefits provided under any defined benefit pension plan, or post-retirement medical plan or nonqualified deferred compensation, severance, cash, equity, equity-based, transaction, change in control, or retention benefit plan) that are substantially comparable in the aggregate to either (A) those provided to such Continuing Employee by the Company and the Company Subsidiaries immediately prior to the Effective Time, or (B) those provided to similarly situated employees of Parent or Parent’s Subsidiaries. Notwithstanding the foregoing, the compensation, benefits and other terms and conditions of employment for the Continuing Employees located outside the United States shall be in compliance with applicable Legal Requirements.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(c) Except as otherwise agreed between a Continuing Employee and Parent, Parent shall or shall cause its Subsidiaries (including the Surviving Corporation and the Surviving Corporation’s Subsidiaries) to assume, honor and maintain the Change of Control Agreements as in effect on the date of this Agreement and listed in </w:t>
      </w:r>
      <w:r>
        <w:rPr>
          <w:rFonts w:ascii="Times New Roman;Times;serif" w:hAnsi="Times New Roman;Times;serif"/>
          <w:color w:val="000000"/>
          <w:sz w:val="18"/>
          <w:u w:val="single"/>
        </w:rPr>
        <w:t>Section 2.18(i)</w:t>
      </w:r>
      <w:r>
        <w:rPr>
          <w:rFonts w:ascii="Times New Roman;Times;serif" w:hAnsi="Times New Roman;Times;serif"/>
          <w:color w:val="000000"/>
          <w:sz w:val="18"/>
        </w:rPr>
        <w:t xml:space="preserve"> of the Company Disclosure Schedule and provide, to each Continuing Employee who experiences a termination of employment in a manner that would entitle such Continuing Employee to payments or benefits under such Change of Control Agreements, payments and benefits in accordance with the terms thereof. Parent hereby acknowledges that the consummation of the transactions contemplated hereby will constitute a “change in control” of the Company (or similar phrase) within the meaning of the Change of Control Agreements and the Company Equity Agreements. Each Continuing Employee who is party to a Change of Control Agreement (and his or her respective heirs, executors, administrators, legal representatives and assigns) is an intended third-party beneficiary of this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with full rights of enforcement as if a party 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(d) All service of the Continuing Employees to the Company and the Company Subsidiaries and their respective predecessors shall be recognized (i) for purposes of determining eligibility to participate, vesting and accrual and level of benefits with respect to each Parent Plan (including, but not limited to, any Parent Plan related to vacation and severance benefits, but excluding any Parent Plan related to defined benefit pension, post-retirement medical, cash, equity, equity-based, nonqualified deferred compensation, retention, transaction, and change in control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299" w:name="ny20081083x2_defm14a_300-annexa_pg37"/>
        <w:bookmarkEnd w:id="29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benefits) pursuant to which service credit is provided to any Parent Employee, in each case in which any Continuing Employee will participate after the Effective Time, except to the extent such recognition would result in the duplication of benefits or service was not recognized under an applicable Company Plan prior to the Effective Time and (ii) for such other purposes and entitlements as are required by applicable Legal Requirements. In addition, Parent or the Parent Subsidiaries (including the Surviving Corporation and the Surviving Corporation’s Subsidiaries), as applicable, shall use reasonable best efforts to cause each Parent Plan that is a group health plan (regardless of whether subject to ERISA) to: (i) waive all limitations as to preexisting conditions, exclusions and waiting periods with respect to participation and coverage requirements to the same extent such limitations would have been waived or satisfied under the Company Plan the Continuing Employee participated in immediately prior to coverage under the Parent Plan, other than preexisting condition limitations, exclusions or waiting periods that are already in effect with respect to such Continuing Employees and that have not been satisfied or waived as of the Effective Time under the analogous welfare benefit plan maintained for the Continuing Employees immediately prior to the Effective Time; and (ii) recognize for each Continuing Employee and his or her spouse, domestic partner and dependents for purposes of applying annual deductible, co-payment and out-of-pocket maximums under such Parent Plan any deductible, co-payment and out-of-pocket expenses paid by the Continuing Employee and his or her spouse, domestic partner and dependents under an analogous Company Plan during the plan year of such plan in which occurs the date on which the Continuing Employee begins participation in such Parent Plan.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shall or shall cause its Subsidiaries (including the Surviving Corporation and the Surviving Corporation’s Subsidiaries) to pay to each Continuing Employee who participates in an annual bonus plan covering the Company’s fiscal year in which the Effective Time occurs, a prorated annual bonus for the portion of the fiscal year through the Effective Time, with each such bonus (i) calculated based on target level performance attainment, and (ii) paid in a single lump sum within fifteen (15) days following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(f) Unless requested by Parent no later than ten (10) Business Days before the Closing Date to not terminate such plan, the Company Board (or the appropriate committee thereof) shall adopt resolutions and take such corporate action as is reasonably necessary to terminate the Company’s 401(k) plan (the “</w:t>
      </w:r>
      <w:r>
        <w:rPr>
          <w:rFonts w:ascii="Times New Roman;Times;serif" w:hAnsi="Times New Roman;Times;serif"/>
          <w:color w:val="000000"/>
          <w:sz w:val="18"/>
          <w:u w:val="single"/>
        </w:rPr>
        <w:t>Company 401(k) Plan</w:t>
      </w:r>
      <w:r>
        <w:rPr>
          <w:rFonts w:ascii="Times New Roman;Times;serif" w:hAnsi="Times New Roman;Times;serif"/>
          <w:color w:val="000000"/>
          <w:sz w:val="18"/>
        </w:rPr>
        <w:t>”), effective as of the day prior to the Closing Date and contingent upon the occurrence of the Closing, and provide that participants in the Company 401(k) Plan shall become fully vested in any unvested portion of their Company 401(k) Plan accounts as of the date such plan is terminated. In the event that the Company 401(k) Plan is to be terminated, (i) the Company shall provide Parent with evidence that such plan has been terminated (the form and substance of which shall be subject to reasonable prior review and comment by Parent) not later than the day preceding the Closing Date and (ii) following the Effective Time and as soon as reasonably practicable following receipt of a favorable determination letter from the IRS on the termination of the Company 401(k) Plan, if applicable the assets thereof shall be distributed to the participants, and Parent shall, to the extent permitted by Parent’s 401(k) plan (the “</w:t>
      </w:r>
      <w:r>
        <w:rPr>
          <w:rFonts w:ascii="Times New Roman;Times;serif" w:hAnsi="Times New Roman;Times;serif"/>
          <w:color w:val="000000"/>
          <w:sz w:val="18"/>
          <w:u w:val="single"/>
        </w:rPr>
        <w:t>Parent 401(k) Plan</w:t>
      </w:r>
      <w:r>
        <w:rPr>
          <w:rFonts w:ascii="Times New Roman;Times;serif" w:hAnsi="Times New Roman;Times;serif"/>
          <w:color w:val="000000"/>
          <w:sz w:val="18"/>
        </w:rPr>
        <w:t xml:space="preserve">”), cause the Parent 401(k) Plan to accept from the Company 401(k) Plan the “direct rollover” of the account balance (including, subject to the next sentence, the in-kind rollover of promissory notes evidencing all outstanding loans that are not in default) of each Continuing Employee who participated in the Company 401(k) Plan as of the date such plan is terminated and who elects such direct rollover in accordance with the terms of the Company 401(k) Plan and the Code. The Company and Parent shall cooperate in good faith to work with the Company 401(k) Plan and Parent 401(k) Plan recordkeepers to develop a process and procedure for effecting the in-kind direct rollover of promissory notes evidencing participant loans from the Company 401(k) Plan to the Parent 401(k) Plan, and the obligation of the Parent 401(k) Plan to accept the direct rollover of loan promissory notes is conditioned on the development of a loan rollover process and procedure that is acceptable to the respective recordkeepers. In the event that a process and procedure acceptable to the Company 401(k) Plan and Parent 401(k) Plan recordkeepers for effecting the in-kind rollover of loan promissory notes is agreed upon, the Company and Parent shall take any and all commercially reasonable actions needed to permit each Continuing Employee with an outstanding loan balance under the Company 401(k) Plan as of the Closing Date to continue to make scheduled loan payments to the Company 401(k) Plan after the Closing, pending the distribution and in-kind rollover of such promissory notes evidencing such loans, so as to prevent, to the extent reasonably possible, a deemed distribution or loan offset with respect to such outstanding loans.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(g) The provisions of this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are solely for the benefit of the parties and nothing in this </w:t>
      </w:r>
      <w:r>
        <w:rPr>
          <w:rFonts w:ascii="Times New Roman;Times;serif" w:hAnsi="Times New Roman;Times;serif"/>
          <w:color w:val="000000"/>
          <w:sz w:val="18"/>
          <w:u w:val="single"/>
        </w:rPr>
        <w:t xml:space="preserve">Section 4.9 </w:t>
      </w:r>
      <w:r>
        <w:rPr>
          <w:rFonts w:ascii="Times New Roman;Times;serif" w:hAnsi="Times New Roman;Times;serif"/>
          <w:color w:val="000000"/>
          <w:sz w:val="18"/>
        </w:rPr>
        <w:t xml:space="preserve">or elsewhere in this Agreement, expressed or implied, is intended to or shall be construed to create a right in any employee of the Company or any of the Company Subsidiaries any right, benefit or remedy of any nature whatsoever, including to employment or continued employment with Parent, the Surviving Corporation or any of their respective Subsidiaries or any right to a particular term or condition of employment or any right to any specific compensation or benefits, nor shall interfere with or restrict in any way the rights of Parent or any of its Affiliates, which rights are hereby expressly reserved, to discharge or terminate the services of any Continuing Employee at any time for any reason whatsoever, with or without cause, except to the extent expressly provided otherwise in a written agreement between Parent, the Company or any of their respective Affiliates and the Continuing Employee. Nothing in this Agreement shall be deemed to constitute an establishment, adoption, amendment, modification or termination of, or to, any compensation or benefit plan, program, agreement or arrangement of Parent, the Company or their respective Affiliates. Nothing herein shall be construed to limit the right of Parent, the Surviving Corporation or any of their respective Subsidiaries to establish, adopt, amend, modify or terminate any Parent Plan, any Company Plan or any other employee benefit plan, program, policy, agreement or arrangement. Notwithstanding any provision in this Agreement to the contrary, nothing in this </w:t>
      </w:r>
      <w:r>
        <w:rPr>
          <w:rFonts w:ascii="Times New Roman;Times;serif" w:hAnsi="Times New Roman;Times;serif"/>
          <w:color w:val="000000"/>
          <w:sz w:val="18"/>
          <w:u w:val="single"/>
        </w:rPr>
        <w:t xml:space="preserve">Section 4.9 </w:t>
      </w:r>
      <w:r>
        <w:rPr>
          <w:rFonts w:ascii="Times New Roman;Times;serif" w:hAnsi="Times New Roman;Times;serif"/>
          <w:color w:val="000000"/>
          <w:sz w:val="18"/>
        </w:rPr>
        <w:t xml:space="preserve">shall create any third party rights, benefits or remedies of any nature whatsoever in any current or former employee of the Company or any of the Company Subsidiaries (or any beneficiaries or dependents thereof) or any other Person that is not a party to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foregoing shall not limit or otherwise affect the right of any Continuing Employee who is a party to a Change of Control Agreement as an intended third-party beneficiary of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as set forth therein.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0" w:name="ny20081083x2_defm14a_300-annexa_pg38"/>
        <w:bookmarkEnd w:id="30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01" w:name="tANNX410"/>
      <w:bookmarkEnd w:id="301"/>
      <w:r>
        <w:rPr>
          <w:rFonts w:ascii="Times New Roman;Times;serif" w:hAnsi="Times New Roman;Times;serif"/>
          <w:color w:val="000000"/>
          <w:sz w:val="18"/>
        </w:rPr>
        <w:t>4.10 </w:t>
      </w:r>
      <w:r>
        <w:rPr>
          <w:rFonts w:ascii="Times New Roman;Times;serif" w:hAnsi="Times New Roman;Times;serif"/>
          <w:color w:val="000000"/>
          <w:sz w:val="18"/>
          <w:u w:val="single"/>
        </w:rPr>
        <w:t>Indemnification; Directors’ and Officers’ Insurance</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(a) For a period of six (6) years after the Effective Time, Parent shall cause the Surviving Corporation to indemnify and hold harmless, and provide advancement of expenses to, to the fullest extent permitted by the Organizational Documents of the Company or any of the Company Subsidiaries in effect as of the date hereof, all current or former directors, officers, members and managers of the Company or any of the Company Subsidiaries, and any Person who at any time prior to the Effective Time was serving, at the written request of the Company or any of the Company Subsidiaries, as a director, officer, member, or manager of another entity or as a fiduciary of a Company Plan (collectively, the “</w:t>
      </w:r>
      <w:r>
        <w:rPr>
          <w:rFonts w:ascii="Times New Roman;Times;serif" w:hAnsi="Times New Roman;Times;serif"/>
          <w:color w:val="000000"/>
          <w:sz w:val="18"/>
          <w:u w:val="single"/>
        </w:rPr>
        <w:t>Indemnified Parties</w:t>
      </w:r>
      <w:r>
        <w:rPr>
          <w:rFonts w:ascii="Times New Roman;Times;serif" w:hAnsi="Times New Roman;Times;serif"/>
          <w:color w:val="000000"/>
          <w:sz w:val="18"/>
        </w:rPr>
        <w:t xml:space="preserve">”) in respect of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in connection with such service. The parties hereto agree that for six (6) years after the Effective Time all rights to elimination or limitation of liability, indemnification, exculpation or advancement of expenses for acts or omissions occurring or alleged to have occurred at or prior to the Effective Time (including acts or omissions in connection with the approval of this Agreement and the consummation of the Merger and the related transactions), whether asserted or claimed prior to, at or after the Effective Time, now existing in favor of the Indemnified Parties as provided in the Organizational Documents of the Company or any of the Company Subsidiaries or in any written agreement between the Company or any of the Company Subsidiaries and an Indemnified Party that is publicly filed with the SEC or set forth in </w:t>
      </w:r>
      <w:r>
        <w:rPr>
          <w:rFonts w:ascii="Times New Roman;Times;serif" w:hAnsi="Times New Roman;Times;serif"/>
          <w:color w:val="000000"/>
          <w:sz w:val="18"/>
          <w:u w:val="single"/>
        </w:rPr>
        <w:t>Section 4.10(a)</w:t>
      </w:r>
      <w:r>
        <w:rPr>
          <w:rFonts w:ascii="Times New Roman;Times;serif" w:hAnsi="Times New Roman;Times;serif"/>
          <w:color w:val="000000"/>
          <w:sz w:val="18"/>
        </w:rPr>
        <w:t xml:space="preserve"> of the Company Disclosure Schedule shall survive the Merger and shall continue in full force and effect. For six (6) years after the Effective Time, the Surviving Corporation shall cause to be maintained in effect the provisions in: (i) the Organizational Documents of the Company and each of the Company Subsidiaries; and (ii) any other indemnification agreements of the Company or any of the Company Subsidiaries with any Indemnified Party, in each case, regarding exculpation, elimination or limitation of liability, indemnification and advancement of expenses that are in existence on the date of this Agreement and which have been made available to Parent, and no such provision shall be amended, modified or repealed in any manner that would adversely affect the rights or protections thereunder of any such Indemnified Party in respect of acts or omissions occurring or alleged to have occurred at or prior to the Effective Time (including acts or omissions occurring in connection with the approval of this Agreement and the consummation of the Merger or any of the related transactions) without the consent of such Indemnified Party, except to the extent required by applicable Legal Requirement.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(b) For a period of six (6) years following the Effective Time, Parent shall cause the Surviving Corporation to maintain in effect the Company’s policy(ies) of directors’ and officers’ liability insurance in effect as of immediately prior to the Closing (or a comparable replacement policy(ies)) (the “</w:t>
      </w:r>
      <w:r>
        <w:rPr>
          <w:rFonts w:ascii="Times New Roman;Times;serif" w:hAnsi="Times New Roman;Times;serif"/>
          <w:color w:val="000000"/>
          <w:sz w:val="18"/>
          <w:u w:val="single"/>
        </w:rPr>
        <w:t>D&amp;O Policy</w:t>
      </w:r>
      <w:r>
        <w:rPr>
          <w:rFonts w:ascii="Times New Roman;Times;serif" w:hAnsi="Times New Roman;Times;serif"/>
          <w:color w:val="000000"/>
          <w:sz w:val="18"/>
        </w:rPr>
        <w:t xml:space="preserve">”)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Policy an aggregate annual cost in excess of three hundred percent (300%) of the aggregate annual cost of the Company’s directors’ and officers’ liability insurance in effect as of the date hereof (the “</w:t>
      </w:r>
      <w:r>
        <w:rPr>
          <w:rFonts w:ascii="Times New Roman;Times;serif" w:hAnsi="Times New Roman;Times;serif"/>
          <w:color w:val="000000"/>
          <w:sz w:val="18"/>
          <w:u w:val="single"/>
        </w:rPr>
        <w:t>Maximum Amount</w:t>
      </w:r>
      <w:r>
        <w:rPr>
          <w:rFonts w:ascii="Times New Roman;Times;serif" w:hAnsi="Times New Roman;Times;serif"/>
          <w:color w:val="000000"/>
          <w:sz w:val="18"/>
        </w:rPr>
        <w:t xml:space="preserve">”); and </w:t>
      </w:r>
      <w:r>
        <w:rPr>
          <w:rFonts w:ascii="Times New Roman;Times;serif" w:hAnsi="Times New Roman;Times;serif"/>
          <w:i/>
          <w:color w:val="000000"/>
          <w:sz w:val="18"/>
        </w:rPr>
        <w:t xml:space="preserve">provided further </w:t>
      </w:r>
      <w:r>
        <w:rPr>
          <w:rFonts w:ascii="Times New Roman;Times;serif" w:hAnsi="Times New Roman;Times;serif"/>
          <w:color w:val="000000"/>
          <w:sz w:val="18"/>
        </w:rPr>
        <w:t xml:space="preserve">that if the aggregate annual cost of the D&amp;O Policy exceeds the Maximum Amount, then Parent shall cause the Surviving Corporation to maintain directors’ and officers’ liability insurance with the most favorable coverage available for a cost not exceeding the Maximum Amount. Notwithstanding anything to the contrary in this Agreement, in lieu of Parent’s obligations under the first sentence of this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the Company shall, at Parent’s request and in reasonable consultation with Parent, prior to the Effective Time, purchase six-year prepaid “tail” insurance on the D&amp;O Policy covering claims arising out of acts, omissions or other matters that occurred at or prior to the Effective Time (including for acts or omissions occurring in connection with this Agreement and the consummation of the transactions contemplated by this Agreement) and covering each of the Company and the Company Subsidiaries and their respective insured persons, in any case, on terms with respect to coverage and amounts that are no less favorable to the insureds thereunder than the terms of the Company’s directors’ and officers’ liability insurance in effect as of immediately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that Parent shall not be required to expend for such D&amp;O “tail” insurance an aggregate cost in excess of the Maximum Amount; and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that if the aggregate cost of the D&amp;O “tail” insurance exceeds the Maximum Amount, then the Company shall, in reasonable consultation with Parent, obtain the most favorable “tail” insurance available for a cost not exceeding the Maximum Amount (unless otherwise directed by Parent to exceed the Maximum Amount). In the event that the Company purchases such “tail” insurance, Parent shall cause the Surviving Corporation to maintain such “tail” insurance in full force and effect and continue to honor its obligations thereunder, in lieu of all other applicable obligations of Parent and the Surviving Corporation under the first sentence of this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Notwithstanding anything in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to the contrary, if any Indemnified Party notifies Parent on or prior to the sixth anniversary of the Effective Time of a matter in respect of which such Person has sought indemnification pursuant to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the provisions of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that require the Surviving Corporation to indemnify and advance expenses shall continue in effect with respect to such matter until the final disposition of all claims, actions, investigations, suits and proceedings relating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obligations under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shall not be terminated, amended or otherwise modified in such a manner as to adversely affect any Indemnified Party (or any other Person who is a beneficiary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any of such Person’s heirs, executors, beneficiaries or representatives) without the prior written consent of such affected Indemnified Party or other Person who is a beneficiary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after the death of any of the foregoing Persons, such Person’s heirs, executors, beneficiaries or representatives). Each of the Indemnified Parties or other Persons who are beneficiaries under the D&amp;O Policy or the “tail” insurance referred to in </w:t>
      </w:r>
      <w:r>
        <w:rPr>
          <w:rFonts w:ascii="Times New Roman;Times;serif" w:hAnsi="Times New Roman;Times;serif"/>
          <w:color w:val="000000"/>
          <w:sz w:val="18"/>
          <w:u w:val="single"/>
        </w:rPr>
        <w:t>Section 4.10(b)</w:t>
      </w:r>
      <w:r>
        <w:rPr>
          <w:rFonts w:ascii="Times New Roman;Times;serif" w:hAnsi="Times New Roman;Times;serif"/>
          <w:color w:val="000000"/>
          <w:sz w:val="18"/>
        </w:rPr>
        <w:t xml:space="preserve"> (and, after the death of any of the foregoing Persons, such Person’s heirs and representatives) are intended to be third party beneficiaries of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with full rights of enforcement as if a party thereto. The rights of the Indemnified Parties (and other Persons who are beneficiaries under the D&amp;O Policy or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2" w:name="ny20081083x2_defm14a_300-annexa_pg39"/>
        <w:bookmarkEnd w:id="30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color w:val="000000"/>
        </w:rPr>
      </w:pPr>
      <w:r>
        <w:rPr>
          <w:color w:val="000000"/>
        </w:rPr>
        <w:t>“</w:t>
      </w:r>
      <w:r>
        <w:rPr>
          <w:rFonts w:ascii="Times New Roman;Times;serif" w:hAnsi="Times New Roman;Times;serif"/>
          <w:color w:val="000000"/>
          <w:sz w:val="18"/>
        </w:rPr>
        <w:t xml:space="preserve">tail” insurance referred to in </w:t>
      </w:r>
      <w:r>
        <w:rPr>
          <w:rFonts w:ascii="Times New Roman;Times;serif" w:hAnsi="Times New Roman;Times;serif"/>
          <w:color w:val="000000"/>
          <w:sz w:val="18"/>
          <w:u w:val="single"/>
        </w:rPr>
        <w:t xml:space="preserve">Section 4.10(b) </w:t>
      </w:r>
      <w:r>
        <w:rPr>
          <w:rFonts w:ascii="Times New Roman;Times;serif" w:hAnsi="Times New Roman;Times;serif"/>
          <w:color w:val="000000"/>
          <w:sz w:val="18"/>
        </w:rPr>
        <w:t xml:space="preserve">(and their heirs and representatives)) under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shall be in addition to, and not in substitution for, any other rights that such Persons may have under the Organizational Documents of the Company or any of the Company Subsidiaries, any and all indemnification agreements of or entered into by the Company or any of the Company Subsidiaries, or applicable Legal Requirements (whether at law or in equity).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(d) In the event that Parent, the Surviving Corporation or any of its respective Subsidiaries (or any of their respective successors or assigns) shall consolidate or merge with any other Person and shall not be the continuing or surviving corporation or entity in such consolidation or merger, then in each case, to the extent necessary to protect the rights of the Indemnified Parties and other Persons who are beneficiaries under the D&amp;O Policy or the “tail” insurance referred to in </w:t>
      </w:r>
      <w:r>
        <w:rPr>
          <w:rFonts w:ascii="Times New Roman;Times;serif" w:hAnsi="Times New Roman;Times;serif"/>
          <w:color w:val="000000"/>
          <w:sz w:val="18"/>
          <w:u w:val="single"/>
        </w:rPr>
        <w:t xml:space="preserve">Section 4.10(b), </w:t>
      </w:r>
      <w:r>
        <w:rPr>
          <w:rFonts w:ascii="Times New Roman;Times;serif" w:hAnsi="Times New Roman;Times;serif"/>
          <w:color w:val="000000"/>
          <w:sz w:val="18"/>
        </w:rPr>
        <w:t xml:space="preserve">proper provision shall be made so that the continuing or surviving corporation or entity (or its successors or assigns, if applicable) shall assume the respective obligations of Parent, the Surviving Corporation or its Subsidiaries, as the case may be, set forth in this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03" w:name="tANNX411"/>
      <w:bookmarkEnd w:id="303"/>
      <w:r>
        <w:rPr>
          <w:rFonts w:ascii="Times New Roman;Times;serif" w:hAnsi="Times New Roman;Times;serif"/>
          <w:color w:val="000000"/>
          <w:sz w:val="18"/>
        </w:rPr>
        <w:t>4.11 </w:t>
      </w:r>
      <w:r>
        <w:rPr>
          <w:rFonts w:ascii="Times New Roman;Times;serif" w:hAnsi="Times New Roman;Times;serif"/>
          <w:color w:val="000000"/>
          <w:sz w:val="18"/>
          <w:u w:val="single"/>
        </w:rPr>
        <w:t>Stockholder Litigation</w:t>
      </w:r>
      <w:r>
        <w:rPr>
          <w:rFonts w:ascii="Times New Roman;Times;serif" w:hAnsi="Times New Roman;Times;serif"/>
          <w:i/>
          <w:color w:val="000000"/>
          <w:sz w:val="18"/>
          <w:u w:val="single"/>
        </w:rPr>
        <w:t>.</w:t>
      </w:r>
      <w:r>
        <w:rPr>
          <w:rFonts w:ascii="Times New Roman;Times;serif" w:hAnsi="Times New Roman;Times;serif"/>
          <w:color w:val="000000"/>
          <w:sz w:val="18"/>
        </w:rPr>
        <w:t xml:space="preserve"> The Company shall as promptly as reasonably practicable provide Parent with written notice of, and copies of all pleadings and material correspondence relating to, any Legal Proceeding or threatened in writing Legal Proceeding against the Company or any of its Subsidiaries, directors or officers by any holder of shares of Company Common Stock arising out of or relating to this Agreement or the transactions contemplated by this Agreement, including the Proxy Statement or any previously-filed registration statement on Form S-4 or proxy statement (each, a “</w:t>
      </w:r>
      <w:r>
        <w:rPr>
          <w:rFonts w:ascii="Times New Roman;Times;serif" w:hAnsi="Times New Roman;Times;serif"/>
          <w:color w:val="000000"/>
          <w:sz w:val="18"/>
          <w:u w:val="single"/>
        </w:rPr>
        <w:t>Transaction Litigation</w:t>
      </w:r>
      <w:r>
        <w:rPr>
          <w:rFonts w:ascii="Times New Roman;Times;serif" w:hAnsi="Times New Roman;Times;serif"/>
          <w:color w:val="000000"/>
          <w:sz w:val="18"/>
        </w:rPr>
        <w:t xml:space="preserve">”), and shall keep Parent reasonably informed with respect to the status thereof. The Company shall provide Parent with the opportunity to participate, at Parent’s sole cost and expense, in the defense of any Transaction Litigation. For purposes of this </w:t>
      </w:r>
      <w:r>
        <w:rPr>
          <w:rFonts w:ascii="Times New Roman;Times;serif" w:hAnsi="Times New Roman;Times;serif"/>
          <w:color w:val="000000"/>
          <w:sz w:val="18"/>
          <w:u w:val="single"/>
        </w:rPr>
        <w:t>Section 4.11</w:t>
      </w:r>
      <w:r>
        <w:rPr>
          <w:rFonts w:ascii="Times New Roman;Times;serif" w:hAnsi="Times New Roman;Times;serif"/>
          <w:color w:val="000000"/>
          <w:sz w:val="18"/>
        </w:rPr>
        <w:t xml:space="preserve">, “participate” shall mean that the Company shall keep Parent reasonably apprised of the proposed strategy and other significant decisions with respect to any Transaction Litigation, and Parent may offer comments or suggestions with respect to such Transaction Litigation, which the Company shall consider in good faith;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Company shall, subject to its consultation with Parent and good faith consideration of Parent’s views, control the defense, strategy, and settlement thereof. The Company shall not compromise, settle, or come to an arrangement regarding any Transaction Litigation without the prior written consent of Parent (not to be unreasonably withheld, conditioned, or delayed with respect to any such settlement that requires only the payment of monetary amounts by the Company). </w:t>
      </w:r>
    </w:p>
    <w:p>
      <w:pPr>
        <w:pStyle w:val="TextBody"/>
        <w:bidi w:val="0"/>
        <w:spacing w:before="120" w:after="283"/>
        <w:ind w:left="0" w:right="0" w:firstLine="400"/>
        <w:jc w:val="both"/>
        <w:rPr>
          <w:rFonts w:ascii="Times New Roman;Times;serif" w:hAnsi="Times New Roman;Times;serif"/>
          <w:color w:val="000000"/>
          <w:sz w:val="18"/>
        </w:rPr>
      </w:pPr>
      <w:bookmarkStart w:id="304" w:name="tANNX412"/>
      <w:bookmarkEnd w:id="304"/>
      <w:r>
        <w:rPr>
          <w:rFonts w:ascii="Times New Roman;Times;serif" w:hAnsi="Times New Roman;Times;serif"/>
          <w:color w:val="000000"/>
          <w:sz w:val="18"/>
        </w:rPr>
        <w:t>4.12 </w:t>
      </w:r>
      <w:r>
        <w:rPr>
          <w:rFonts w:ascii="Times New Roman;Times;serif" w:hAnsi="Times New Roman;Times;serif"/>
          <w:color w:val="000000"/>
          <w:sz w:val="18"/>
          <w:u w:val="single"/>
        </w:rPr>
        <w:t>Stock Exchange Delisting</w:t>
      </w:r>
      <w:r>
        <w:rPr>
          <w:rFonts w:ascii="Times New Roman;Times;serif" w:hAnsi="Times New Roman;Times;serif"/>
          <w:color w:val="000000"/>
          <w:sz w:val="18"/>
        </w:rPr>
        <w:t xml:space="preserve">. Prior to the Effective Time, the Company shall cooperate with Parent and shall take all preparatory actions reasonably requested by Parent in connection therewith (including coordinating with Nasdaq to provide any required advance notice of the anticipated delisting of the Company Common Stock and preparing any filings required to be made with the SEC in connection with the deregistration of the Company Common Stock under the Exchange Act, including a Form 25 and a Form 15), to facilitate the delisting of the shares of Company Common Stock from Nasdaq and the deregistration of the Company Common Stock under the Exchange Act following the Effective Time. Following the Effective Time, Parent shall, or shall cause the Surviving Corporation to, take all actions necessary to cause the shares of Company Common Stock to be delisted from Nasdaq and deregistered under the Exchange Act, including by causing the Surviving Corporation to (i) file (or request that Nasdaq file, as applicable) a Form 25 with the SEC to remove the Company Common Stock from listing on Nasdaq and terminate the registration of the Company Common Stock under Section 12(b) of the Exchange Act, and (ii) following the effectiveness of such Form 25, file a Form 15 with the SEC to suspend the Surviving Corporation’s reporting obligations under Section 15(d) of the Exchange Act, in each case as soon as practicable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05" w:name="tANNX413"/>
      <w:bookmarkEnd w:id="305"/>
      <w:r>
        <w:rPr>
          <w:rFonts w:ascii="Times New Roman;Times;serif" w:hAnsi="Times New Roman;Times;serif"/>
          <w:color w:val="000000"/>
          <w:sz w:val="18"/>
        </w:rPr>
        <w:t>4.13 </w:t>
      </w:r>
      <w:r>
        <w:rPr>
          <w:rFonts w:ascii="Times New Roman;Times;serif" w:hAnsi="Times New Roman;Times;serif"/>
          <w:color w:val="000000"/>
          <w:sz w:val="18"/>
          <w:u w:val="single"/>
        </w:rPr>
        <w:t>Section 16 Matters</w:t>
      </w:r>
      <w:r>
        <w:rPr>
          <w:rFonts w:ascii="Times New Roman;Times;serif" w:hAnsi="Times New Roman;Times;serif"/>
          <w:i/>
          <w:color w:val="000000"/>
          <w:sz w:val="18"/>
          <w:u w:val="single"/>
        </w:rPr>
        <w:t>.</w:t>
      </w:r>
      <w:r>
        <w:rPr>
          <w:rFonts w:ascii="Times New Roman;Times;serif" w:hAnsi="Times New Roman;Times;serif"/>
          <w:color w:val="000000"/>
          <w:sz w:val="18"/>
        </w:rPr>
        <w:t xml:space="preserve"> Prior to the Effective Time, the Parent Board and the Company Board, respectively, shall take all actions that may be required or appropriate to cause any dispositions of shares of Company Common Stock (including derivative securities with respect to shares of Company Common Stock) or acquisitions of Parent Common Stock (including derivative securities with respect to Parent Common Stock) in connection with the transactions contemplated by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by each individual who is, or as a result of the transactions contemplated by this Agreement will be, subject to the reporting requirements of Section 16(a) of the Exchange Act with respect to the Company or is, or will as a result of the transactions contemplated by this Agreement become, subject to such reporting requirements with respect to Parent, to be exempt under Rule 16b-3 promulgated under the Exchange Act. </w:t>
      </w:r>
    </w:p>
    <w:p>
      <w:pPr>
        <w:pStyle w:val="TextBody"/>
        <w:bidi w:val="0"/>
        <w:spacing w:before="120" w:after="283"/>
        <w:ind w:left="0" w:right="0" w:firstLine="400"/>
        <w:jc w:val="both"/>
        <w:rPr>
          <w:rFonts w:ascii="Times New Roman;Times;serif" w:hAnsi="Times New Roman;Times;serif"/>
          <w:color w:val="000000"/>
          <w:sz w:val="18"/>
        </w:rPr>
      </w:pPr>
      <w:bookmarkStart w:id="306" w:name="tANNX414"/>
      <w:bookmarkEnd w:id="306"/>
      <w:r>
        <w:rPr>
          <w:rFonts w:ascii="Times New Roman;Times;serif" w:hAnsi="Times New Roman;Times;serif"/>
          <w:color w:val="000000"/>
          <w:sz w:val="18"/>
        </w:rPr>
        <w:t>4.14 </w:t>
      </w:r>
      <w:r>
        <w:rPr>
          <w:rFonts w:ascii="Times New Roman;Times;serif" w:hAnsi="Times New Roman;Times;serif"/>
          <w:color w:val="000000"/>
          <w:sz w:val="18"/>
          <w:u w:val="single"/>
        </w:rPr>
        <w:t>Director and Officer Resignations</w:t>
      </w:r>
      <w:r>
        <w:rPr>
          <w:rFonts w:ascii="Times New Roman;Times;serif" w:hAnsi="Times New Roman;Times;serif"/>
          <w:color w:val="000000"/>
          <w:sz w:val="18"/>
        </w:rPr>
        <w:t xml:space="preserve">. If requested by Parent in writing at least five (5) Business Days before the Closing, the Company shall cause to be delivered to Parent prior to the Closing resignations, in form and substance reasonably satisfactory to Parent, executed by each director and officer of the Company and each Company Subsidiary in office as of immediately prior to the Effective Time, in each case, conditioned and effective upon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07" w:name="tANNX415"/>
      <w:bookmarkEnd w:id="307"/>
      <w:r>
        <w:rPr>
          <w:rFonts w:ascii="Times New Roman;Times;serif" w:hAnsi="Times New Roman;Times;serif"/>
          <w:color w:val="000000"/>
          <w:sz w:val="18"/>
        </w:rPr>
        <w:t>4.15 </w:t>
      </w:r>
      <w:r>
        <w:rPr>
          <w:rFonts w:ascii="Times New Roman;Times;serif" w:hAnsi="Times New Roman;Times;serif"/>
          <w:color w:val="000000"/>
          <w:sz w:val="18"/>
          <w:u w:val="single"/>
        </w:rPr>
        <w:t>Takeover Statutes</w:t>
      </w:r>
      <w:r>
        <w:rPr>
          <w:rFonts w:ascii="Times New Roman;Times;serif" w:hAnsi="Times New Roman;Times;serif"/>
          <w:color w:val="000000"/>
          <w:sz w:val="18"/>
        </w:rPr>
        <w:t xml:space="preserve">. If any antitakeover or similar statute or regulation is or may become applicable to the transactions contemplated by this Agreement, each of the parties hereto and its respective Board of Directors shall (a) grant any approvals and take all actions necessary so that the transactions contemplated by this Agreement may be consummated as promptly as practicable on the terms contemplated hereby and (b) otherwise act to eliminate or minimize the effects of any such statute or regulation on the transactions contemplated by this Agreement. </w:t>
      </w:r>
    </w:p>
    <w:p>
      <w:pPr>
        <w:pStyle w:val="TextBody"/>
        <w:bidi w:val="0"/>
        <w:spacing w:before="160" w:after="283"/>
        <w:ind w:left="0" w:right="0" w:firstLine="400"/>
        <w:jc w:val="left"/>
        <w:rPr>
          <w:rFonts w:ascii="Times New Roman;Times;serif" w:hAnsi="Times New Roman;Times;serif"/>
          <w:color w:val="000000"/>
          <w:sz w:val="18"/>
        </w:rPr>
      </w:pPr>
      <w:bookmarkStart w:id="308" w:name="tANNX416"/>
      <w:bookmarkEnd w:id="308"/>
      <w:r>
        <w:rPr>
          <w:rFonts w:ascii="Times New Roman;Times;serif" w:hAnsi="Times New Roman;Times;serif"/>
          <w:color w:val="000000"/>
          <w:sz w:val="18"/>
        </w:rPr>
        <w:t>4.16 </w:t>
      </w:r>
      <w:r>
        <w:rPr>
          <w:rFonts w:ascii="Times New Roman;Times;serif" w:hAnsi="Times New Roman;Times;serif"/>
          <w:color w:val="000000"/>
          <w:sz w:val="18"/>
          <w:u w:val="single"/>
        </w:rPr>
        <w:t>Treatment of Company Indebtedness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shall use reasonable best efforts to (i) take any actions that may be required by the Company Indentures and the Company Convertible Note Hedge Obligations, as applicable, to be performed by the Company prior to the Effective Time, including, without limitation, as a result of the execution and delivery of this Agreement and the consummation of the Merger and the other transactions contemplated hereby, including, as may be applicable, (A) the giving of any notices, announcements, certificates, opinions, documents or instruments that the Company may be required to give prior to the Effective Time and (B) preparing any supplemental indentures required in connection with the Merger and the other transactions contemplated by this Agreement and the consummation thereof to be executed and delivered to the applicable trustee at or prior to the Effective Time, in form and substance reasonably satisfactory to the applicable trustee and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09" w:name="ny20081083x2_defm14a_300-annexa_pg40"/>
        <w:bookmarkEnd w:id="30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Parent and (C) delivering any opinions of counsel required to be delivered on or prior to the Effective Time and any officer’s certificates or other documents or instruments, as may be necessary to comply with all of the terms and conditions of the Company Indentures in connection with the Merger and the other transactions contemplated by this Agreement and (ii) provide to Parent reasonable prior notice of any such action, including, without limitation, drafts reasonably in advance of documents to be provided in connection with such actions and shall consider in good faith any comments from Parent thereto. In addition, until the Effective Time, the Company shall use reasonable best efforts to provide customary cooperation reasonably requested by Parent in connection with such requirements of the Company Indentures and the Company Convertible Note Hedge Obligations, as applicable, as may be required, or as Parent may deem desirable to undertake, in connection with the consummation of the Merger or the other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(b) Upon Parent’s request, prior to the Effective Time, the Company shall use reasonable best efforts to (i) engage in discussions with each of BNP Paribas, Deutsche Bank AG, London Branch (through its agent Deutsche Bank Securities, Inc.), The Toronto-Dominion Bank (represented by TD Securities (USA) LLC as its agent) and UBS AG, London Branch (represented by UBS Securities LLC as its agent), respectively (the “</w:t>
      </w:r>
      <w:r>
        <w:rPr>
          <w:rFonts w:ascii="Times New Roman;Times;serif" w:hAnsi="Times New Roman;Times;serif"/>
          <w:color w:val="000000"/>
          <w:sz w:val="18"/>
          <w:u w:val="single"/>
        </w:rPr>
        <w:t>Capped Call Dealers</w:t>
      </w:r>
      <w:r>
        <w:rPr>
          <w:rFonts w:ascii="Times New Roman;Times;serif" w:hAnsi="Times New Roman;Times;serif"/>
          <w:color w:val="000000"/>
          <w:sz w:val="18"/>
        </w:rPr>
        <w:t xml:space="preserve">”), with respect to, and cooperate with Parent to obtain the consent of each Capped Call Dealer for, the termination, settlement, cancellation, adjustment, modification and/or payment (in each case in whole or in part) of, as applicable, at or as promptly as practicable following the Effective Time, the Company Convertible Note Hedge Obligations, as applicable, and (ii) involve Parent in any discussions or negotiations with the Capped Call Dealers with respect to the termination, settlement, cancellation, adjustment, modification and/or payment (in each case in whole or in part) of, as applicable, the Company Convertible Note Hedge Obligations in connection with the consummation of the Merger. Prior to the Effective Time, the Company shall not (i) make any amendments, modifications or other changes to the terms of, or agree to any adjustment under or amounts due upon termination, cancellation or early settlement of any of the Company Convertible Note Hedge Obligations or (ii) exercise any right it may have to terminate, or cause the early settlement or cancellation of, any of the Company Convertible Note Hedge Obligations, without the prior written consent of Parent. The Company will promptly (and, in any event, within two (2) business days) provide to Parent a copy of any written notice received from a Capped Call Dealer in connection with the Company Convertible Note Hedge Obligations (including any written notice with respect to any determination, adjustment, cancellation, termination, exercise, settlement or computation in connection with the Company Convertible Note Hedge Obligations).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(c) For the avoidance of doubt, subject to </w:t>
      </w:r>
      <w:r>
        <w:rPr>
          <w:rFonts w:ascii="Times New Roman;Times;serif" w:hAnsi="Times New Roman;Times;serif"/>
          <w:color w:val="000000"/>
          <w:sz w:val="18"/>
          <w:u w:val="single"/>
        </w:rPr>
        <w:t>Section 4.2(a)</w:t>
      </w:r>
      <w:r>
        <w:rPr>
          <w:rFonts w:ascii="Times New Roman;Times;serif" w:hAnsi="Times New Roman;Times;serif"/>
          <w:color w:val="000000"/>
          <w:sz w:val="18"/>
        </w:rPr>
        <w:t xml:space="preserve">, nothing contained herein shall prohibit the Company from issuing shares of Company Common Stock upon conversion of the Company Convertible Notes in accordance with and as required by the terms of the Company Convertible Notes Indenture, and complying with the terms of the Company Convertible Note Hedge Obligations in connection therewith, and nothing herein shall require the Company to effect a termination, repurchase or settlement of the Company Convertible Notes or the Company Convertible Note Hedge Obligations prior to the Closing;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the Company will not make any settlement election (other than a deemed election of the “Default Settlement Method”) under the Company Convertible Notes Indenture or the Company Convertible Note Hedge Obligations without the prior written consent of Parent (which consent shall not be unreasonably withheld, conditioned or delayed).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(d) Upon Parent’s request and at Parent’s sole cost and expense (including with respect to principal of and interest on the Company Senior Notes), the Company (i) shall use reasonable best efforts to exercise its right to redeem, discharge, defease or make an offer to repurchase the Company Senior Notes (or any combination thereof) in accordance with the terms of the Company Senior Notes and the Company Senior Notes Indenture, any such redemption, discharge, defeasance or repurchase to be effective at the Effective Time or such later time as Parent may request, including, as may be applicable, the giving of any notices, announcements, certificates, opinions, documents or instruments that the Company may be required to give to effect such action pursuant to the terms of the Company Senior Notes and the Company Senior Notes Indenture, and (ii) shall provide Parent with drafts reasonably in advance of documents to be provided in connection with any such action and shall consider in good faith any comments from Parent thereto. Notwithstanding the foregoing, nothing in this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shall require the Company or any of the Company Subsidiaries to pay or deposit any amounts required to redeem, discharge, defease or repurchase the Company Senior Notes prior to the Effective Time, except to the extent such amounts and related expenses have been previously provided by Parent to the Company or the Company Subsidiaries, as applicable, in accordance with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(e) The Company shall use reasonable best efforts to deliver to Parent no later than the Closing Date (i) an executed payoff letter with respect to the Company Credit Agreement (the “</w:t>
      </w:r>
      <w:r>
        <w:rPr>
          <w:rFonts w:ascii="Times New Roman;Times;serif" w:hAnsi="Times New Roman;Times;serif"/>
          <w:color w:val="000000"/>
          <w:sz w:val="18"/>
          <w:u w:val="single"/>
        </w:rPr>
        <w:t>Payoff Letter</w:t>
      </w:r>
      <w:r>
        <w:rPr>
          <w:rFonts w:ascii="Times New Roman;Times;serif" w:hAnsi="Times New Roman;Times;serif"/>
          <w:color w:val="000000"/>
          <w:sz w:val="18"/>
        </w:rPr>
        <w:t>”) in form and substance customary for transactions of this type (and drafts at least five (5) Business Days prior to the Closing Date), from the administrative agent thereunder, which Payoff Letter together with any related release documentation shall, among other things, include the amount required to discharge the indebtedness owing thereunder (the “</w:t>
      </w:r>
      <w:r>
        <w:rPr>
          <w:rFonts w:ascii="Times New Roman;Times;serif" w:hAnsi="Times New Roman;Times;serif"/>
          <w:color w:val="000000"/>
          <w:sz w:val="18"/>
          <w:u w:val="single"/>
        </w:rPr>
        <w:t>Credit Facility Payoff Amount</w:t>
      </w:r>
      <w:r>
        <w:rPr>
          <w:rFonts w:ascii="Times New Roman;Times;serif" w:hAnsi="Times New Roman;Times;serif"/>
          <w:color w:val="000000"/>
          <w:sz w:val="18"/>
        </w:rPr>
        <w:t>”) and provide for the automatic termination of commitments thereunder and the automatic release of liens granted in connection therewith on the assets and properties of the Company and the Company Subsidiaries upon the payment of the Credit Facility Payoff Amount (such discharge, termination and release, the “</w:t>
      </w:r>
      <w:r>
        <w:rPr>
          <w:rFonts w:ascii="Times New Roman;Times;serif" w:hAnsi="Times New Roman;Times;serif"/>
          <w:color w:val="000000"/>
          <w:sz w:val="18"/>
          <w:u w:val="single"/>
        </w:rPr>
        <w:t>Credit Facility Termination</w:t>
      </w:r>
      <w:r>
        <w:rPr>
          <w:rFonts w:ascii="Times New Roman;Times;serif" w:hAnsi="Times New Roman;Times;serif"/>
          <w:color w:val="000000"/>
          <w:sz w:val="18"/>
        </w:rPr>
        <w:t xml:space="preserve">”), and (ii) all lien release documentation necessary to effect the release of any Liens and other security interests related to the Company Credit Agreement (including all necessary UCC-3 termination statements). Notwithstanding anything herein to the contrary, the Company shall not be required to cause the Credit Facility Termination to be effective unless and until the Effective Time has occurred and, if requested by the Company, Parent has provided or caused to be provided to the Company funds in an amount necessary to pay in full the Credit Facility Payoff Amount and to provide required cash collateral for any outstanding letters of credit thereunder.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0" w:name="ny20081083x2_defm14a_300-annexa_pg41"/>
        <w:bookmarkEnd w:id="31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11" w:name="tANNX417"/>
      <w:bookmarkEnd w:id="311"/>
      <w:r>
        <w:rPr>
          <w:rFonts w:ascii="Times New Roman;Times;serif" w:hAnsi="Times New Roman;Times;serif"/>
          <w:color w:val="000000"/>
          <w:sz w:val="18"/>
        </w:rPr>
        <w:t>4.17 </w:t>
      </w:r>
      <w:r>
        <w:rPr>
          <w:rFonts w:ascii="Times New Roman;Times;serif" w:hAnsi="Times New Roman;Times;serif"/>
          <w:color w:val="000000"/>
          <w:sz w:val="18"/>
          <w:u w:val="single"/>
        </w:rPr>
        <w:t>Financing Cooperation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(a) Prior to the Effective Time, the Company shall use reasonable best efforts to, and shall cause the Company Subsidiaries to use reasonable best efforts to, and shall use its reasonable best efforts to cause its and their Representatives to, provide to Parent and Merger Sub all customary cooperation that is reasonably requested by Parent and Merger Sub in connection with the Financing (including any Financing that is a capital markets issuance), including using reasonable best efforts to: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(i) furnish to Parent (A) audited consolidated balance sheets and related consolidated statements of operations, comprehensive (loss) income, stockholders’ equity (deficit) and cash flows for the Company for each of the three most recently completed fiscal years of the Company ended at least sixty (60) days prior to the Closing Date prepared in accordance with GAAP and (B) unaudited condensed consolidated balance sheets and related condensed consolidated statements of operations, stockholder’s equity (deficit) and cash flows (in each case, subject to normal year-end adjustments and absence of footnotes) for each subsequent fiscal quarter ended on a date that is at least forty (40) days before the Closing Date (other than with respect to the fiscal quarter that is the last fiscal quarter of the fiscal year); provided that the references to 40 days and 60 days in such paragraph also shall be deemed to refer to the applicable closing date of any capital markets issuance as referenced in Section 4.17(a) above;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(ii) furnish to Parent such customary information regarding the Company and the Company Subsidiaries as is reasonably requested in writing by Parent (A) in connection with the preparation of customary offering and marketing documents (and any supplements thereto) for the Financing, or (B) as is reasonably necessary to permit Parent to prepare pro forma financial statements customarily included in marketing and offering documents for an offering of securities of Parent on a registration statement filed with the SEC in accordance with Article 11 of Regulation S-X under the Securities Act; it being understood that Parent, and not the Company or any Company Subsidiary, is responsible for preparation of pro forma financial statements and any other pro forma financial information;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(iii) furnish to the Financing Sources customary authorization letters from the Company (subject to customary confidentiality provisions and disclaimers) authorizing the distribution of information with respect to the Company and the Company Subsidiaries in customary marketing materials for the Financing and containing a customary negative assurance representation to the Financing Sources and a customary representation to the Financing Sources that the public side versions of such marketing materials, if any, do not include material non-public information about the Company, the Company Subsidiaries or its or their respective securities, in each case provided such marketing materials have been provided to the Company reasonably in advance of their intended distribution;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(iv) (A) cause the Company’s independent accountants to provide assistance and cooperation reasonably requested by Parent in connection with the Financing and consistent with the customary practice of such accountants, including their participation in customary due diligence sessions and requesting that they provide any customary “comfort” letters (including customary “negative assurance” comfort for any applicable Financing) and (B) provide customary management representation letters to such auditors to the extent required in connection with such comfort letters;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(v) provide customary cooperation with the due diligence process of the applicable Financing Sources as reasonably requested by Parent, including participating upon reasonable prior notice and after prior consultation, at agreed times, in a reasonable number of virtual due diligence sessions, and cooperating with the customary marketing efforts of Parent, in each case, in connection with any Financing;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(vi) assist Parent in connection with the preparation and execution of the definitive documents in respect of the Financing, including (A) any credit agreements, guarantees, pledge and security documents and other definitive financing documents (and any disclosure schedules thereto), in each case, as may be reasonably requested by Parent or the Financing Sources, and (B) facilitating the pledging of collateral and the granting of security interests in respect of the Financing; it being understood that such documents will not be recorded or take effect, and no pledge or security interest in any asset or property of the Company or any Company Subsidiary pursuant to any such document shall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(vii) execute and deliver or provide, as applicable, customary evidence of authority, customary officer’s certificates and customary insurance certificates, in each case, as reasonably requested by Parent and the Financing Sources;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(viii) take corporate or other organizational actions reasonably requested by Parent in connection with the consummation of Financing (which actions shall not be effective prior to the Effective Time); and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(ix) furnish to Parent at least four (4) Business Days prior to the Closing Date all documentation and other information regarding the Company and Company’s Subsidiaries as is required in connection with the Financing by bank regulatory authorities under applicable “know-your-customer” and anti-money laundering rules and regulations, in each case reasonably requested by the Parent in writing at least nine (9) Business Days prior to the Closing Date.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(b) Notwithstanding anything to the contrary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neither the Company nor any Company Subsidiary shall: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(i) be required to become an issuer or an obligor with respect to the Financing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(ii) be required to cause any director, officer, member, partner, accountant, legal counsel, employee or other Representative of the Company or any Company Subsidiary to take or permit to take any action that could reasonably be expected to result in such Person incurring any personal liability;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(iii) be required to waive or amend any terms of this Agreement;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2" w:name="ny20081083x2_defm14a_300-annexa_pg42"/>
        <w:bookmarkEnd w:id="31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(iv) be required to (A) take or permit the taking of any action that would or could reasonably be expected to conflict with, violate or result in a default under any applicable Law, fiduciary duty, or Company Material Contract (or other material Contract binding on the Company) in each case existing as of the date hereof or (B) to provide access to or disclose information subject to any attorney-client, attorney work product or other legal privilege;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(v) be required to, nor shall any of their directors, employees, officers, members, partners or managers or other governing body be required to, adopt resolutions or consents to approve or authorize the Financing or the execution of the agreements, documents and instruments pursuant to which the Financing is obtained (it being acknowledged by the Parent and Merger Sub that any such resolutions or consents shall be derived exclusively from the authority of the board of directors or other applicable governing body of the Company and the Company Subsidiaries as constituted after giving effect to the Closing);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(vi) be required to (or be required to cause their Representatives to) execute, deliver or enter into, or perform any agreement, document or instrument (other than customary authorization letters and management representation letters expressly described in </w:t>
      </w:r>
      <w:r>
        <w:rPr>
          <w:rFonts w:ascii="Times New Roman;Times;serif" w:hAnsi="Times New Roman;Times;serif"/>
          <w:color w:val="000000"/>
          <w:sz w:val="18"/>
          <w:u w:val="single"/>
        </w:rPr>
        <w:t>clause (a)</w:t>
      </w:r>
      <w:r>
        <w:rPr>
          <w:rFonts w:ascii="Times New Roman;Times;serif" w:hAnsi="Times New Roman;Times;serif"/>
          <w:color w:val="000000"/>
          <w:sz w:val="18"/>
        </w:rPr>
        <w:t xml:space="preserve"> of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including any credit or other agreements, guarantees, pledge or security documents or certificates in connection with the Financing, in each case, that would be effective prior to the Effective Time and any such execution, delivery, entry into or performance will only be required of the respective directors, employees, officers and natural person managers, members and partners of the Company and the Company Subsidiaries who retain their respective positions as of, and immediately after, the Effective Time (except in each case with respect to such customary authorization letters and management representation letters);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(vii) be required to (or be required to cause their Representatives to) agree to any amendment to, change to, waiver of or modification of any Contract that would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(viii) be required to (or be required to cause their Representatives to) provide any indemnity that would be effective prior to the Effective Time;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(ix) be required to (or be required to cause their Representatives to) take or permit the taking of any action that would or could reasonably be expected to conflict with or violate any charter or other organizational documents of the Company or any of the Company Subsidiaries as in effect on the date hereof;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(x) be required to (or be required to cause their Representatives to) prepare or furnish (A) pro forma financial statements, (B) any financial statements, analyses or information not prepared in the ordinary course of its financial reporting practice or (C) forecasts, projections or legal opinions;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(xi) be required to take or permit the taking of any action that would or could reasonably be expected to cause any covenant, representation or warranty in this Agreement or any ancillary agreement related hereto to be breached or become inaccurate or that would or could reasonably be expected to cause any condition to Closing to fail to be satisfied; </w:t>
      </w:r>
    </w:p>
    <w:p>
      <w:pPr>
        <w:pStyle w:val="TextBody"/>
        <w:bidi w:val="0"/>
        <w:spacing w:before="120" w:after="283"/>
        <w:ind w:left="8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(xii) be required to take or permit the taking of any actions that would or could reasonably be expected to unreasonably interfere with the business or operations of the Company or any Company Subsidiary; or </w:t>
      </w:r>
    </w:p>
    <w:p>
      <w:pPr>
        <w:pStyle w:val="TextBody"/>
        <w:bidi w:val="0"/>
        <w:spacing w:before="160" w:after="283"/>
        <w:ind w:left="8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(xiii) be required to change any fiscal period prior to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(c) All information regarding the Company or the Company Subsidiaries obtained by Parent, Merger Sub or their respective Representatives pursuant to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from or on behalf of the Company shall be kept confidential in accordance with the Non-Disclosure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notwithstanding anything to the contrary herein or in the Non-Disclosure Agreement or the Clean Team Agreement, such information may be disclosed (i) to prospective lenders, underwriters, initial purchasers, dealer managers and agents during syndication and marketing of the Financing that enter into confidentiality arrangements customary for financing transactions of the same type as the Financing (including customary “click-through” confidentiality undertakings) and (ii) on a confidential basis to rating agencies.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(d) The Company hereby consents to the reasonable use of the Company’s and the Company Subsidiaries’ logos solely in connection with the marketing of the Financing; provided that such logos are used solely in a manner that is not intended to or reasonably likely to harm, disparage or otherwise adversely affect in any material respect the Company or the Company Subsidiaries or the reputation or goodwill of the Company or the Company Subsidiaries or any of their respective products, services, offerings or intellectual property rights.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(e) Promptly upon written request by the Company, Parent will reimburse the Company for any reasonable and documented out-of-pocket costs and expenses (including reasonable and documented out-of-pocket attorneys’ fees) incurred by the Company, the Company Subsidiaries and their respective Representatives in connection with the cooperation required by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that would not otherwise have been incurred, other than to the extent any such costs and expenses are incurred as a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herewith or with the Financing.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(f) The Company, the Company Subsidiaries and its and their respective affiliates and Representatives will be indemnified and held harmless by Parent from and against any and all liabilities, losses, damages, claims, costs, expenses (including reasonable and documented out-of-pocket attorney’s fees), interest, awards, judgments, penalties and amounts paid in settlement suffered or incurred by them in connection with the Financing, their cooperation pursuant to this Section 4.17 and any other action taken by them at the request of Parent or Merger Sub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A-39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3" w:name="ny20081083x2_defm14a_300-annexa_pg43"/>
        <w:bookmarkEnd w:id="31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pursuant to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including the provision of information (other than written information provided by or on behalf of the Company or any Company Subsidiary), other than to the extent any such liabilities, losses, damages, claims, costs, expenses, interest, awards, judgments or penalties are the result of the gross negligence, bad faith or willful misconduct of the Company, any Company Subsidiary or their respective Representatives, or any such Person’s material breach of this Agreement, or with respect to any material misstatement or omission in information provided in writing hereunder by any of the foregoing persons for use in connection with the Financing. The reimbursement obligations pursuant to </w:t>
      </w:r>
      <w:r>
        <w:rPr>
          <w:rFonts w:ascii="Times New Roman;Times;serif" w:hAnsi="Times New Roman;Times;serif"/>
          <w:color w:val="000000"/>
          <w:sz w:val="18"/>
          <w:u w:val="single"/>
        </w:rPr>
        <w:t>Section 4.17(e)</w:t>
      </w:r>
      <w:r>
        <w:rPr>
          <w:rFonts w:ascii="Times New Roman;Times;serif" w:hAnsi="Times New Roman;Times;serif"/>
          <w:color w:val="000000"/>
          <w:sz w:val="18"/>
        </w:rPr>
        <w:t xml:space="preserve"> and the indemnification obligations pursuant to this </w:t>
      </w:r>
      <w:r>
        <w:rPr>
          <w:rFonts w:ascii="Times New Roman;Times;serif" w:hAnsi="Times New Roman;Times;serif"/>
          <w:color w:val="000000"/>
          <w:sz w:val="18"/>
          <w:u w:val="single"/>
        </w:rPr>
        <w:t>Section 4.17(f)</w:t>
      </w:r>
      <w:r>
        <w:rPr>
          <w:rFonts w:ascii="Times New Roman;Times;serif" w:hAnsi="Times New Roman;Times;serif"/>
          <w:color w:val="000000"/>
          <w:sz w:val="18"/>
        </w:rPr>
        <w:t xml:space="preserve"> (collectively, the “</w:t>
      </w:r>
      <w:r>
        <w:rPr>
          <w:rFonts w:ascii="Times New Roman;Times;serif" w:hAnsi="Times New Roman;Times;serif"/>
          <w:color w:val="000000"/>
          <w:sz w:val="18"/>
          <w:u w:val="single"/>
        </w:rPr>
        <w:t>Financing Indemnity</w:t>
      </w:r>
      <w:r>
        <w:rPr>
          <w:rFonts w:ascii="Times New Roman;Times;serif" w:hAnsi="Times New Roman;Times;serif"/>
          <w:color w:val="000000"/>
          <w:sz w:val="18"/>
        </w:rPr>
        <w:t xml:space="preserve">”) shall survive the termination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of Parent and Merger Sub hereby acknowledge and agree that obtaining the Financing or any other debt, equity or other financing is not a condition to the Merger, and that if neither the Financing nor any other debt, equity or other financing is obtained, Parent and Merger Sub will each continue to be obligated, subject to the satisfaction or waiver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and the other terms hereof, to consummate the Merger.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(h) For the avoidance of doubt, the parties hereto acknowledge and agree that the provisions contained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represent the sole obligation of the Company, the Company Subsidiaries and their respective Representatives with respect to cooperation in connection with any Financing and no other provision of this Agreement (including the Exhibits and Schedules hereto) shall be deemed to expand or modify such obligations; provided that nothing in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shall limit or modify the Company’s or the Company Subsidiaries’ obligations under </w:t>
      </w:r>
      <w:r>
        <w:rPr>
          <w:rFonts w:ascii="Times New Roman;Times;serif" w:hAnsi="Times New Roman;Times;serif"/>
          <w:color w:val="000000"/>
          <w:sz w:val="18"/>
          <w:u w:val="single"/>
        </w:rPr>
        <w:t>Section 4.16</w:t>
      </w:r>
      <w:r>
        <w:rPr>
          <w:rFonts w:ascii="Times New Roman;Times;serif" w:hAnsi="Times New Roman;Times;serif"/>
          <w:color w:val="000000"/>
          <w:sz w:val="18"/>
        </w:rPr>
        <w:t xml:space="preserve"> or any other provisions of this Agreement that does not relate to cooperation in connection with the Financing.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(i) Notwithstanding anything in this Agreement to the contrary, and without limiting Parent’s right to seek specific performance or other equitable relief to cause the Company to comply with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pursuant to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for purposes of determining whether any of the conditions to Closing set forth in </w:t>
      </w:r>
      <w:r>
        <w:rPr>
          <w:rFonts w:ascii="Times New Roman;Times;serif" w:hAnsi="Times New Roman;Times;serif"/>
          <w:color w:val="000000"/>
          <w:sz w:val="18"/>
          <w:u w:val="single"/>
        </w:rPr>
        <w:t>Section 5.2</w:t>
      </w:r>
      <w:r>
        <w:rPr>
          <w:rFonts w:ascii="Times New Roman;Times;serif" w:hAnsi="Times New Roman;Times;serif"/>
          <w:color w:val="000000"/>
          <w:sz w:val="18"/>
        </w:rPr>
        <w:t xml:space="preserve"> have been satisfied, the Company and the Company Subsidiaries shall be deemed to be in compliance with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unless Parent’s failure to obtain the Committed Financing and any Alternative Financing was due primarily to a material breach by the Company of its obligations under this </w:t>
      </w:r>
      <w:r>
        <w:rPr>
          <w:rFonts w:ascii="Times New Roman;Times;serif" w:hAnsi="Times New Roman;Times;serif"/>
          <w:color w:val="000000"/>
          <w:sz w:val="18"/>
          <w:u w:val="single"/>
        </w:rPr>
        <w:t>Section 4.17</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14" w:name="tANNX418"/>
      <w:bookmarkEnd w:id="314"/>
      <w:r>
        <w:rPr>
          <w:rFonts w:ascii="Times New Roman;Times;serif" w:hAnsi="Times New Roman;Times;serif"/>
          <w:color w:val="000000"/>
          <w:sz w:val="18"/>
        </w:rPr>
        <w:t>4.18 </w:t>
      </w:r>
      <w:r>
        <w:rPr>
          <w:rFonts w:ascii="Times New Roman;Times;serif" w:hAnsi="Times New Roman;Times;serif"/>
          <w:color w:val="000000"/>
          <w:sz w:val="18"/>
          <w:u w:val="single"/>
        </w:rPr>
        <w:t>Notification of Certain Events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(a) Each of the Company and Parent shall, as promptly as reasonably practicable, notify the other party upon becoming aware that any representation or warranty made by it in this Agreement has become untrue or inaccurate, or of any failure of such party to comply with or satisfy any covenant or agreement to be complied with or satisfied by it under this Agreement, in each case, such that the applicable condition to the Merger would reasonably be expected to fail to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 such notification shall affect or be deemed to modify any representation or warranty of the notifying party set forth herein or the conditions to the obligations of the other party to consummate the Merger, or the remedies available to the parties hereto. The Company shall, as promptly as reasonably practicable, notify Parent, to the extent the Company has knowledge of such notice or communication, of any written communication from any Person alleging that the consent of such Person is required in connection with the Merger, and the failure to obtain such consent would reasonably be expected to have a material impact on the Company and the Company Subsidiaries, taken as a whole, or the combined company.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Company shall, in connection with the preparation of each of its quarterly financial statements during the period between the date of this Agreement and the Effective Time, determine whether both of the following conditions are satisfied as of the last day of the applicable fiscal quarter: (i) the Company’s distributor weeks of inventory as of such date exceeds 1.15 times the average distributor weeks of inventory for the trailing twelve (12)-month period ending on such date; and (ii) the aggregate value of the Company’s inventory as of such date (determined in accordance with GAAP applied on a basis consistent with the Company’s past practice) exceeds 1.15 times the average aggregate value of the Company’s inventory for the trailing twelve (12)-month period ending on such date. If both conditions set forth in clauses (i) and (ii) above are satisfied as of the last day of any such fiscal quarter, the Company shall notify Parent as promptly as reasonably practicable following the date on which such determination is made. For the avoidance of doubt, (A) no notification shall be required under this </w:t>
      </w:r>
      <w:r>
        <w:rPr>
          <w:rFonts w:ascii="Times New Roman;Times;serif" w:hAnsi="Times New Roman;Times;serif"/>
          <w:color w:val="000000"/>
          <w:sz w:val="18"/>
          <w:u w:val="single"/>
        </w:rPr>
        <w:t xml:space="preserve">Section 4.18(b) </w:t>
      </w:r>
      <w:r>
        <w:rPr>
          <w:rFonts w:ascii="Times New Roman;Times;serif" w:hAnsi="Times New Roman;Times;serif"/>
          <w:color w:val="000000"/>
          <w:sz w:val="18"/>
        </w:rPr>
        <w:t xml:space="preserve">unless both conditions set forth in clauses (i) and (ii) above are simultaneously satisfied as of the last day of the applicable fiscal quarter and (B) providing such notification shall be the Company’s sole obligation with respect to such conditions (i.e., the existence of such conditions shall not in and of themselves constitute a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(c) The failure by a party to deliver any notice pursuant to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shall not affect any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or factor into whether any right to terminate under </w:t>
      </w:r>
      <w:r>
        <w:rPr>
          <w:rFonts w:ascii="Times New Roman;Times;serif" w:hAnsi="Times New Roman;Times;serif"/>
          <w:color w:val="000000"/>
          <w:sz w:val="18"/>
          <w:u w:val="single"/>
        </w:rPr>
        <w:t>ARTICLE VI</w:t>
      </w:r>
      <w:r>
        <w:rPr>
          <w:rFonts w:ascii="Times New Roman;Times;serif" w:hAnsi="Times New Roman;Times;serif"/>
          <w:color w:val="000000"/>
          <w:sz w:val="18"/>
        </w:rPr>
        <w:t xml:space="preserve"> may arise unless such failure was due to such party’s intentional and material breach of the preceding terms of this </w:t>
      </w:r>
      <w:r>
        <w:rPr>
          <w:rFonts w:ascii="Times New Roman;Times;serif" w:hAnsi="Times New Roman;Times;serif"/>
          <w:color w:val="000000"/>
          <w:sz w:val="18"/>
          <w:u w:val="single"/>
        </w:rPr>
        <w:t>Section 4.18</w:t>
      </w:r>
      <w:r>
        <w:rPr>
          <w:rFonts w:ascii="Times New Roman;Times;serif" w:hAnsi="Times New Roman;Times;serif"/>
          <w:color w:val="000000"/>
          <w:sz w:val="18"/>
        </w:rPr>
        <w:t xml:space="preserve">. </w:t>
      </w:r>
    </w:p>
    <w:p>
      <w:pPr>
        <w:pStyle w:val="TextBody"/>
        <w:bidi w:val="0"/>
        <w:spacing w:before="170" w:after="283"/>
        <w:ind w:left="0" w:right="0" w:firstLine="400"/>
        <w:jc w:val="left"/>
        <w:rPr>
          <w:rFonts w:ascii="Times New Roman;Times;serif" w:hAnsi="Times New Roman;Times;serif"/>
          <w:color w:val="000000"/>
          <w:sz w:val="18"/>
        </w:rPr>
      </w:pPr>
      <w:bookmarkStart w:id="315" w:name="tANNX419"/>
      <w:bookmarkEnd w:id="315"/>
      <w:r>
        <w:rPr>
          <w:rFonts w:ascii="Times New Roman;Times;serif" w:hAnsi="Times New Roman;Times;serif"/>
          <w:color w:val="000000"/>
          <w:sz w:val="18"/>
        </w:rPr>
        <w:t>4.19 </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(a) Parent shall, and shall cause its Subsidiaries to, use reasonable best efforts to take, or cause to be taken, all actions and to do, or cause to be done, all things necessary, proper or advisable to arrange, consummate and obtain the Committed Financing on or prior to the Closing, on the terms and subject solely to the conditions (including, to the extent applicable, the “market flex” provisions) described in the Debt Commitment Letter, including using its, and causing its Subsidiaries to use their, reasonable best efforts to: (i) maintain in full force and effect the Debt Commitment Letter in accordance with its terms, (ii) timely (and in any event by the Closing) negotiate, enter into and deliver definitive agreements with respect to the Committed Financing (the “</w:t>
      </w:r>
      <w:r>
        <w:rPr>
          <w:rFonts w:ascii="Times New Roman;Times;serif" w:hAnsi="Times New Roman;Times;serif"/>
          <w:color w:val="000000"/>
          <w:sz w:val="18"/>
          <w:u w:val="single"/>
        </w:rPr>
        <w:t>Definitive Financing Documents</w:t>
      </w:r>
      <w:r>
        <w:rPr>
          <w:rFonts w:ascii="Times New Roman;Times;serif" w:hAnsi="Times New Roman;Times;serif"/>
          <w:color w:val="000000"/>
          <w:sz w:val="18"/>
        </w:rPr>
        <w:t xml:space="preserve">”), on the terms and subject solely to the conditions (including, to the extent applicable, the “market flex” provisions) described in the Debt Commitment Letter, (iii) satisfy (or obtain a waiver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6" w:name="ny20081083x2_defm14a_300-annexa_pg44"/>
        <w:bookmarkEnd w:id="31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on a timely basis all conditions and comply on a timely basis with (or obtain a waiver of) all covenants and obligations applicable to Parent or any of its Subsidiaries in the Debt Commitment Letter and the Definitive Financing Documents, (iv) enforce all of its rights under the Debt Commitment Letter and the Definitive Financing Documents in a timely and diligent manner, and (v) consummate the Committed Financing no later than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(b) Parent shall not (and shall cause its Subsidiaries not to) amend, restate, supplement or modify, replace (or replace any commitment under), or grant any consent or waive any provision under, the Debt Commitment Letter or the Definitive Financing Documents, in whole or in part, without the prior written consent of the Company if such amendment, restatement, supplement, replacement, modification, consent or waiver would or would reasonably be expected to: (i) impose new or additional conditions or otherwise expand or adversely amend or modify any conditions to the Committed Financing; (ii) reduce (or have the effect of reducing) the aggregate amount of the Committed Financing (including by increasing the amount of fees to be paid or original issue discount) to an amount that would result in Parent having insufficient funds to pay the Required Amounts, (iii) impede, delay, prevent or otherwise adversely impact the consummation of the Merger and the other transactions contemplated hereby or the funding of the Committed Financing (or satisfaction of the conditions to the Committed Financing) or make the funding of the full amount of the Committed Financing less likely to occur on or prior to the Closing, or (iv) adversely impact the ability of Parent to enforce its rights against the other parties to the Debt Commitment Letter or the Definitive Financing Documents (it being understood that Parent may (notwithstanding anything to the contrary in the Non-Disclosure Agreement or the Clean Team Agreement) amend, restate, modify or supplement the Debt Commitment Letter or the Definitive Financing Documents solely to add lenders, lead arrangers, bookrunners, underwriters, syndication agents or similar entities that have not executed the Debt Commitment Letter as of the date of this Agreement without the Company’s consent (</w:t>
      </w:r>
      <w:r>
        <w:rPr>
          <w:rFonts w:ascii="Times New Roman;Times;serif" w:hAnsi="Times New Roman;Times;serif"/>
          <w:color w:val="000000"/>
          <w:sz w:val="18"/>
          <w:u w:val="single"/>
        </w:rPr>
        <w:t>provided</w:t>
      </w:r>
      <w:r>
        <w:rPr>
          <w:rFonts w:ascii="Times New Roman;Times;serif" w:hAnsi="Times New Roman;Times;serif"/>
          <w:color w:val="000000"/>
          <w:sz w:val="18"/>
        </w:rPr>
        <w:t xml:space="preserve"> that, for the avoidance of doubt, such amendment, restatement, modification or supplement shall otherwise comply with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Parent shall promptly deliver to the Company true and complete copies of any amendment, restatement, supplement, replacement, modification or waiver of or to, or consent under, the Debt Commitment Letter; provided that any fee letter to be delivered by Parent in connection herewith may be customarily redacted as provided for in </w:t>
      </w:r>
      <w:r>
        <w:rPr>
          <w:rFonts w:ascii="Times New Roman;Times;serif" w:hAnsi="Times New Roman;Times;serif"/>
          <w:color w:val="000000"/>
          <w:sz w:val="18"/>
          <w:u w:val="single"/>
        </w:rPr>
        <w:t>Section 3.8(a)</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(c) In the event that, at any time prior to the Effective Time, any portion of the Committed Financing becomes unavailable for any reason such that Parent would not have available cash, after giving effect to all other sources of cash that would be available to Parent on the Closing Date, to satisfy Parent’s payment obligations under this Agreement due on the Closing Date, including payment of the Required Amounts, (i) Parent shall notify the Company in writing thereof as promptly as practicable after obtaining knowledge thereof, and (ii) Parent shall use its reasonable best efforts to obtain as promptly as practicable following the occurrence of such event, alternative debt financing (A) in an amount sufficient, together with the available portion of the Financing and all other sources of cash that would be available to Parent on the Closing Date, to consummate the Merger on the Closing Date and to otherwise pay the Required Amounts, (B) that does not impose new or additional conditions precedent or expand upon the conditions precedent to the Committed Financing as set forth in the Debt Commitment Letter (as in effect on the date of this Agreement), and (C) which would not reasonably be expected to impede, delay, prevent or otherwise adversely impact the consummation of the Merger and the other transactions contemplated hereby (an “</w:t>
      </w:r>
      <w:r>
        <w:rPr>
          <w:rFonts w:ascii="Times New Roman;Times;serif" w:hAnsi="Times New Roman;Times;serif"/>
          <w:color w:val="000000"/>
          <w:sz w:val="18"/>
          <w:u w:val="single"/>
        </w:rPr>
        <w:t>Alternative Financing</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(d) Upon (i) obtaining any commitment for any Alternative Financing or any other Financing constituting a replacement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or (ii) any amendment, restatement, supplement, replacement, modification or waiver of the Debt Commitment Letter or the Definitive Financing Documents, in each case, as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the definitions of “Debt Commitment Letter” or “Definitive Financing Documents”, as applicable, shall be deemed to have been modified as appropriate to reflect such Alternative Financing, replacement Financing or amendment, restatement, supplement, replacement, modification or waiver, as applicable.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(e) Parent shall keep the Company reasonably informed upon the Company’s written request of the status of its efforts to arrange the Financing. Without limiting the generality of the foregoing, Parent shall (i) furnish the Company with executed copies of any amendments, restatements, supplements, replacements, modifications to or waivers of the Debt Commitment Letter, Definitive Financing Documents or Alternative Financing permitted by </w:t>
      </w:r>
      <w:r>
        <w:rPr>
          <w:rFonts w:ascii="Times New Roman;Times;serif" w:hAnsi="Times New Roman;Times;serif"/>
          <w:color w:val="000000"/>
          <w:sz w:val="18"/>
          <w:u w:val="single"/>
        </w:rPr>
        <w:t>Section 4.19(b)</w:t>
      </w:r>
      <w:r>
        <w:rPr>
          <w:rFonts w:ascii="Times New Roman;Times;serif" w:hAnsi="Times New Roman;Times;serif"/>
          <w:color w:val="000000"/>
          <w:sz w:val="18"/>
        </w:rPr>
        <w:t xml:space="preserve"> (with any fee letter redacted in a customary manner to the extent described in </w:t>
      </w:r>
      <w:r>
        <w:rPr>
          <w:rFonts w:ascii="Times New Roman;Times;serif" w:hAnsi="Times New Roman;Times;serif"/>
          <w:color w:val="000000"/>
          <w:sz w:val="18"/>
          <w:u w:val="single"/>
        </w:rPr>
        <w:t>Section 3.8(a)</w:t>
      </w:r>
      <w:r>
        <w:rPr>
          <w:rFonts w:ascii="Times New Roman;Times;serif" w:hAnsi="Times New Roman;Times;serif"/>
          <w:color w:val="000000"/>
          <w:sz w:val="18"/>
        </w:rPr>
        <w:t xml:space="preserve">) promptly after their execution, and (ii) give the Company prompt written notice (A) of any actual or threatened in writing default or breach (or any event or circumstances that, with or without notice, lapse of time or both, could reasonably be expected to give rise to any default or breach) under, or in repudiation, rescission, cancellation or expiration of, the Debt Commitment Letter or the Definitive Financing Documents by any party thereto, in each case, of which Parent becomes aware, (B) of any termination of the Debt Commitment Letter or reduction in aggregate commitments thereunder, (C) of the receipt by Parent or any Affiliate of Parent of any written notice or other written communication from any Person with respect to (x) a breach of Parent’s or any of its Affiliates’ obligations under the Debt Commitment Letter or Definitive Financing Documents, or actual or potential default, termination or repudiation by any party to any of the Debt Commitment Letter or Definitive Financing Documents (including any proposal by any Financing Source, lender or other Person to withdraw, terminate, repudiate, rescind or make a material change in the terms of (including the amount of the Committed Financing contemplated by the Debt Commitment Letter) the Debt Commitment Letter), and (y) any material dispute or disagreement between or among any parties to the Debt Commitment Letter or any Definitive Financing Document relating to the initial availability of the Committed Financing or the amount of the Committed Financing to be funded at Closing, and (D) of the receipt by Parent or any Affiliate of Parent of any written notice or other written communication on the basis of which Parent expects that a party to the Committed Financing will fail to fund the Committed Financing or is reducing the amount of the Committed Financing. In the event that Parent commences an enforcement action to enforce its rights under any agreement in respect of the Committed Financing or to cause any Financing Source to fund all or any portion of the Committed Financing, Parent shall keep the Company reasonably informed of the status of such enforcement action upon the Company’s written request.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17" w:name="ny20081083x2_defm14a_300-annexa_pg45"/>
        <w:bookmarkEnd w:id="31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(f) Parent and Merger Sub expressly acknowledge and agree that neither Parent’s nor Merger Sub’s obligations hereunder, including to consummate the Closing subject to the terms and conditions hereof, are conditioned upon Parent or Merger Sub obtaining the Financing, any Alternative Financing or any other debt, equity or other financing. </w:t>
      </w:r>
    </w:p>
    <w:p>
      <w:pPr>
        <w:pStyle w:val="TextBody"/>
        <w:bidi w:val="0"/>
        <w:spacing w:before="410" w:after="283"/>
        <w:jc w:val="center"/>
        <w:rPr>
          <w:rFonts w:ascii="Times New Roman;Times;serif" w:hAnsi="Times New Roman;Times;serif"/>
          <w:b/>
          <w:color w:val="000000"/>
          <w:sz w:val="18"/>
        </w:rPr>
      </w:pPr>
      <w:bookmarkStart w:id="318" w:name="tANNXA5"/>
      <w:bookmarkEnd w:id="318"/>
      <w:r>
        <w:rPr>
          <w:rFonts w:ascii="Times New Roman;Times;serif" w:hAnsi="Times New Roman;Times;serif"/>
          <w:b/>
          <w:color w:val="000000"/>
          <w:sz w:val="18"/>
        </w:rPr>
        <w:t xml:space="preserve">ARTICLE V.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CONDITIONS TO EACH PARTY’S OBLIGATION TO EFFECT THE MERGER</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19" w:name="tANNX51"/>
      <w:bookmarkEnd w:id="319"/>
      <w:r>
        <w:rPr>
          <w:rFonts w:ascii="Times New Roman;Times;serif" w:hAnsi="Times New Roman;Times;serif"/>
          <w:color w:val="000000"/>
          <w:sz w:val="18"/>
        </w:rPr>
        <w:t>5.1 </w:t>
      </w:r>
      <w:r>
        <w:rPr>
          <w:rFonts w:ascii="Times New Roman;Times;serif" w:hAnsi="Times New Roman;Times;serif"/>
          <w:color w:val="000000"/>
          <w:sz w:val="18"/>
          <w:u w:val="single"/>
        </w:rPr>
        <w:t>Conditions Precedent to Each Party’s Obligations.</w:t>
      </w:r>
      <w:r>
        <w:rPr>
          <w:rFonts w:ascii="Times New Roman;Times;serif" w:hAnsi="Times New Roman;Times;serif"/>
          <w:color w:val="000000"/>
          <w:sz w:val="18"/>
        </w:rPr>
        <w:t xml:space="preserve"> The obligations of each party to effect the Merger and otherwise cause the transactions contemplated by this Agreement to be consummated are subject to the satisfaction or waiver by Parent and the Company, in whole or in part (to the extent permitted by applicable Legal Requirements), as of the Closing, of each of the following conditions: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Company Stockholder Approval</w:t>
      </w:r>
      <w:r>
        <w:rPr>
          <w:rFonts w:ascii="Times New Roman;Times;serif" w:hAnsi="Times New Roman;Times;serif"/>
          <w:color w:val="000000"/>
          <w:sz w:val="18"/>
        </w:rPr>
        <w:t xml:space="preserve">. The Required Company Stockholder Vote shall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Governmental Approvals</w:t>
      </w:r>
      <w:r>
        <w:rPr>
          <w:rFonts w:ascii="Times New Roman;Times;serif" w:hAnsi="Times New Roman;Times;serif"/>
          <w:color w:val="000000"/>
          <w:sz w:val="18"/>
        </w:rPr>
        <w:t xml:space="preserve">. (i) Any waiting period (or any agreed upon extension of any waiting period or commitment not to consummate the Merger for any period of time) applicable to the consummation of the Merger under any applicable Antitrust Law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expired or been terminated by the relevant Governmental Entity, and there shall be no pending agreement between Parent and any Governmental Entity not to close; (ii) any Governmental Authorization required to be obtained with respect to such Antitrust Laws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been obtained and shall remain in full force and effect; and (iii) any Governmental Authorization required under any applicable FDI Laws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have been obtained and shall be in full force and effect.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Absence of Relevant Legal Restraints</w:t>
      </w:r>
      <w:r>
        <w:rPr>
          <w:rFonts w:ascii="Times New Roman;Times;serif" w:hAnsi="Times New Roman;Times;serif"/>
          <w:color w:val="000000"/>
          <w:sz w:val="18"/>
        </w:rPr>
        <w:t xml:space="preserve">. No Legal Requirement or Order shall have been entered, issued or adopted by any court of competent jurisdiction or other Governmental Entity of competent jurisdiction and remain in effect, in either case preventing, enjoining or making illegal the consummation of the Merger (it being understood and agreed by the parties that only a court of competent jurisdiction or other Governmental Entity in the jurisdictions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shall constitute a court of competent jurisdiction or other Governmental Entity for purposes of this </w:t>
      </w:r>
      <w:r>
        <w:rPr>
          <w:rFonts w:ascii="Times New Roman;Times;serif" w:hAnsi="Times New Roman;Times;serif"/>
          <w:color w:val="000000"/>
          <w:sz w:val="18"/>
          <w:u w:val="single"/>
        </w:rPr>
        <w:t>Section 5.1(c)</w:t>
      </w:r>
      <w:r>
        <w:rPr>
          <w:rFonts w:ascii="Times New Roman;Times;serif" w:hAnsi="Times New Roman;Times;serif"/>
          <w:color w:val="000000"/>
          <w:sz w:val="18"/>
        </w:rPr>
        <w:t>) (each, a “</w:t>
      </w:r>
      <w:r>
        <w:rPr>
          <w:rFonts w:ascii="Times New Roman;Times;serif" w:hAnsi="Times New Roman;Times;serif"/>
          <w:color w:val="000000"/>
          <w:sz w:val="18"/>
          <w:u w:val="single"/>
        </w:rPr>
        <w:t>Relevant Legal Restraint</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20" w:name="tANNX52"/>
      <w:bookmarkEnd w:id="320"/>
      <w:r>
        <w:rPr>
          <w:rFonts w:ascii="Times New Roman;Times;serif" w:hAnsi="Times New Roman;Times;serif"/>
          <w:color w:val="000000"/>
          <w:sz w:val="18"/>
        </w:rPr>
        <w:t>5.2 </w:t>
      </w:r>
      <w:r>
        <w:rPr>
          <w:rFonts w:ascii="Times New Roman;Times;serif" w:hAnsi="Times New Roman;Times;serif"/>
          <w:color w:val="000000"/>
          <w:sz w:val="18"/>
          <w:u w:val="single"/>
        </w:rPr>
        <w:t>Additional Conditions Precedent to Parent’s Obligations</w:t>
      </w:r>
      <w:r>
        <w:rPr>
          <w:rFonts w:ascii="Times New Roman;Times;serif" w:hAnsi="Times New Roman;Times;serif"/>
          <w:color w:val="000000"/>
          <w:sz w:val="18"/>
        </w:rPr>
        <w:t xml:space="preserve">. The obligation of Parent to cause the Merger to be effected and otherwise cause the transactions contemplated by this Agreement to be consummated is subject to the satisfaction or waiver by Parent,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the Company contained in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2.8(a)</w:t>
      </w:r>
      <w:r>
        <w:rPr>
          <w:rFonts w:ascii="Times New Roman;Times;serif" w:hAnsi="Times New Roman;Times;serif"/>
          <w:color w:val="000000"/>
          <w:sz w:val="18"/>
        </w:rPr>
        <w:t xml:space="preserve"> shall have been true and accurate in all respects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date hereof and shall be true and accurate (other than, with respect to </w:t>
      </w:r>
      <w:r>
        <w:rPr>
          <w:rFonts w:ascii="Times New Roman;Times;serif" w:hAnsi="Times New Roman;Times;serif"/>
          <w:color w:val="000000"/>
          <w:sz w:val="18"/>
          <w:u w:val="single"/>
        </w:rPr>
        <w:t>Sections 2.2(a)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at and as of the Closing Date as if made at and as of such time (except to the extent that any such representation and warranty expressly speaks as of a particular date or period of time, in which case such representation and warranty shall be true and accurate, other than, with respect to </w:t>
      </w:r>
      <w:r>
        <w:rPr>
          <w:rFonts w:ascii="Times New Roman;Times;serif" w:hAnsi="Times New Roman;Times;serif"/>
          <w:color w:val="000000"/>
          <w:sz w:val="18"/>
          <w:u w:val="single"/>
        </w:rPr>
        <w:t xml:space="preserve">Sections 2.2(a) </w:t>
      </w:r>
      <w:r>
        <w:rPr>
          <w:rFonts w:ascii="Times New Roman;Times;serif" w:hAnsi="Times New Roman;Times;serif"/>
          <w:color w:val="000000"/>
          <w:sz w:val="18"/>
        </w:rPr>
        <w:t xml:space="preserve">and </w:t>
      </w:r>
      <w:r>
        <w:rPr>
          <w:rFonts w:ascii="Times New Roman;Times;serif" w:hAnsi="Times New Roman;Times;serif"/>
          <w:color w:val="000000"/>
          <w:sz w:val="18"/>
          <w:u w:val="single"/>
        </w:rPr>
        <w:t>2.2(b)</w:t>
      </w:r>
      <w:r>
        <w:rPr>
          <w:rFonts w:ascii="Times New Roman;Times;serif" w:hAnsi="Times New Roman;Times;serif"/>
          <w:color w:val="000000"/>
          <w:sz w:val="18"/>
        </w:rPr>
        <w:t xml:space="preserve"> for de minimis inaccuracies, as of such particular date or period of time); (ii) the representations and warranties of the Company contained in </w:t>
      </w:r>
      <w:r>
        <w:rPr>
          <w:rFonts w:ascii="Times New Roman;Times;serif" w:hAnsi="Times New Roman;Times;serif"/>
          <w:color w:val="000000"/>
          <w:sz w:val="18"/>
          <w:u w:val="single"/>
        </w:rPr>
        <w:t>Section 2.1(a)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2.4</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2.5</w:t>
      </w:r>
      <w:r>
        <w:rPr>
          <w:rFonts w:ascii="Times New Roman;Times;serif" w:hAnsi="Times New Roman;Times;serif"/>
          <w:color w:val="000000"/>
          <w:sz w:val="18"/>
        </w:rPr>
        <w:t xml:space="preserve">, </w:t>
      </w:r>
      <w:r>
        <w:rPr>
          <w:rFonts w:ascii="Times New Roman;Times;serif" w:hAnsi="Times New Roman;Times;serif"/>
          <w:color w:val="000000"/>
          <w:sz w:val="18"/>
          <w:u w:val="single"/>
        </w:rPr>
        <w:t xml:space="preserve">Section 2.6(a)(i) </w:t>
      </w:r>
      <w:r>
        <w:rPr>
          <w:rFonts w:ascii="Times New Roman;Times;serif" w:hAnsi="Times New Roman;Times;serif"/>
          <w:color w:val="000000"/>
          <w:sz w:val="18"/>
        </w:rPr>
        <w:t xml:space="preserve">(solely with respect to the Company’s Organizational Documents), </w:t>
      </w:r>
      <w:r>
        <w:rPr>
          <w:rFonts w:ascii="Times New Roman;Times;serif" w:hAnsi="Times New Roman;Times;serif"/>
          <w:color w:val="000000"/>
          <w:sz w:val="18"/>
          <w:u w:val="single"/>
        </w:rPr>
        <w:t>Section 2.22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2.25</w:t>
      </w:r>
      <w:r>
        <w:rPr>
          <w:rFonts w:ascii="Times New Roman;Times;serif" w:hAnsi="Times New Roman;Times;serif"/>
          <w:color w:val="000000"/>
          <w:sz w:val="18"/>
        </w:rPr>
        <w:t xml:space="preserve"> (A) that are qualified by “Company Material Adverse Effect” shall have been true and accurate in all respects and (B) that are not qualified by “Company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(iii) the representations and warranties of the Company set forth in this Agreement (other than those representations and warranties referred to in the foregoing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Company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(iii)</w:t>
      </w:r>
      <w:r>
        <w:rPr>
          <w:rFonts w:ascii="Times New Roman;Times;serif" w:hAnsi="Times New Roman;Times;serif"/>
          <w:color w:val="000000"/>
          <w:sz w:val="18"/>
        </w:rPr>
        <w:t xml:space="preserve">, for purposes of determining the accuracy of such representations and warranties, all materiality, “Company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The Company shall have complied with or performed in all material respects all of the obligations, covenants and agreements that the Company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No Company Material Adverse Effect</w:t>
      </w:r>
      <w:r>
        <w:rPr>
          <w:rFonts w:ascii="Times New Roman;Times;serif" w:hAnsi="Times New Roman;Times;serif"/>
          <w:color w:val="000000"/>
          <w:sz w:val="18"/>
        </w:rPr>
        <w:t xml:space="preserve">. Since the date of this Agreement, there shall not have occurred any Effects that, individually or in the aggregate, have constituted or resulted in a Company Material Adverse Effect that is continuing.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(d) 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Parent shall have received a certificate, dated as of the Closing Date and executed by the Chief Executive Officer or Chief Financial Officer of the Company, confirming that the conditions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5.2(c)</w:t>
      </w:r>
      <w:r>
        <w:rPr>
          <w:rFonts w:ascii="Times New Roman;Times;serif" w:hAnsi="Times New Roman;Times;serif"/>
          <w:color w:val="000000"/>
          <w:sz w:val="18"/>
        </w:rPr>
        <w:t xml:space="preserve"> have been duly satisfied.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1" w:name="ny20081083x2_defm14a_300-annexa_pg46"/>
        <w:bookmarkEnd w:id="32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22" w:name="tANNX53"/>
      <w:bookmarkEnd w:id="322"/>
      <w:r>
        <w:rPr>
          <w:rFonts w:ascii="Times New Roman;Times;serif" w:hAnsi="Times New Roman;Times;serif"/>
          <w:color w:val="000000"/>
          <w:sz w:val="18"/>
        </w:rPr>
        <w:t>5.3 </w:t>
      </w:r>
      <w:r>
        <w:rPr>
          <w:rFonts w:ascii="Times New Roman;Times;serif" w:hAnsi="Times New Roman;Times;serif"/>
          <w:color w:val="000000"/>
          <w:sz w:val="18"/>
          <w:u w:val="single"/>
        </w:rPr>
        <w:t>Additional Conditions Precedent to Company’s Obligations</w:t>
      </w:r>
      <w:r>
        <w:rPr>
          <w:rFonts w:ascii="Times New Roman;Times;serif" w:hAnsi="Times New Roman;Times;serif"/>
          <w:color w:val="000000"/>
          <w:sz w:val="18"/>
        </w:rPr>
        <w:t xml:space="preserve">. The obligation of the Company to effect the Merger and otherwise consummate the transactions contemplated by this Agreement is subject to the satisfaction or waiver by the Company, as of the Closing, of each of the following conditions: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(a) </w:t>
      </w:r>
      <w:r>
        <w:rPr>
          <w:rFonts w:ascii="Times New Roman;Times;serif" w:hAnsi="Times New Roman;Times;serif"/>
          <w:color w:val="000000"/>
          <w:sz w:val="18"/>
          <w:u w:val="single"/>
        </w:rPr>
        <w:t>Accuracy of Representations</w:t>
      </w:r>
      <w:r>
        <w:rPr>
          <w:rFonts w:ascii="Times New Roman;Times;serif" w:hAnsi="Times New Roman;Times;serif"/>
          <w:color w:val="000000"/>
          <w:sz w:val="18"/>
        </w:rPr>
        <w:t xml:space="preserve">. (i) The representations and warranties of Parent and Merger Sub contained in </w:t>
      </w:r>
      <w:r>
        <w:rPr>
          <w:rFonts w:ascii="Times New Roman;Times;serif" w:hAnsi="Times New Roman;Times;serif"/>
          <w:color w:val="000000"/>
          <w:sz w:val="18"/>
          <w:u w:val="single"/>
        </w:rPr>
        <w:t>Section 3.1(a)</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3.3(a)(i)</w:t>
      </w:r>
      <w:r>
        <w:rPr>
          <w:rFonts w:ascii="Times New Roman;Times;serif" w:hAnsi="Times New Roman;Times;serif"/>
          <w:color w:val="000000"/>
          <w:sz w:val="18"/>
        </w:rPr>
        <w:t xml:space="preserve"> (solely with respect to Parent’s Organizational Documents) and </w:t>
      </w:r>
      <w:r>
        <w:rPr>
          <w:rFonts w:ascii="Times New Roman;Times;serif" w:hAnsi="Times New Roman;Times;serif"/>
          <w:color w:val="000000"/>
          <w:sz w:val="18"/>
          <w:u w:val="single"/>
        </w:rPr>
        <w:t>Section 3.6 (A)</w:t>
      </w:r>
      <w:r>
        <w:rPr>
          <w:rFonts w:ascii="Times New Roman;Times;serif" w:hAnsi="Times New Roman;Times;serif"/>
          <w:color w:val="000000"/>
          <w:sz w:val="18"/>
        </w:rPr>
        <w:t xml:space="preserve"> that are qualified by “Parent Material Adverse Effect” shall have been true and accurate in all respects and (B) that are not qualified by “Parent Material Adverse Effect” shall have been true and accurate in all material respects, in each case at and as of the date hereof and at and as of the Closing Date as if made at and as of such time (except to the extent that any such representation and warranty expressly speaks as of a particular date or period of time, in which case such representation and warranty shall be true and accurate in all respects or in all material respects, as applicable, as of such particular date or period of time);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w:t>
      </w:r>
      <w:r>
        <w:rPr>
          <w:rFonts w:ascii="Times New Roman;Times;serif" w:hAnsi="Times New Roman;Times;serif"/>
          <w:color w:val="000000"/>
          <w:sz w:val="18"/>
          <w:u w:val="single"/>
        </w:rPr>
        <w:t>clause (i)(B)</w:t>
      </w:r>
      <w:r>
        <w:rPr>
          <w:rFonts w:ascii="Times New Roman;Times;serif" w:hAnsi="Times New Roman;Times;serif"/>
          <w:color w:val="000000"/>
          <w:sz w:val="18"/>
        </w:rPr>
        <w:t xml:space="preserve">, for purposes of determining the accuracy of such representations and warranties, all materiality and similar qualifications set forth in such representations and warranties shall be disregarded; and (ii) the representations and warranties of Parent and Merger Sub set forth in this Agreement (other than those representations and warranties referred to in the foregoing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shall have been true and accurate in all respects at and as of the date hereof and shall be true and accurate in all respects at and as of the Closing Date as if made at and as of such time (except to the extent that any such representation and warranty expressly speaks as of a particular date or period of time, in which case such representation and warranty shall be so true and accurate as of such particular date or period of time), except as would not have, and would not reasonably be expected to have, individually or in the aggregate, a Parent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in the case of this </w:t>
      </w:r>
      <w:r>
        <w:rPr>
          <w:rFonts w:ascii="Times New Roman;Times;serif" w:hAnsi="Times New Roman;Times;serif"/>
          <w:color w:val="000000"/>
          <w:sz w:val="18"/>
          <w:u w:val="single"/>
        </w:rPr>
        <w:t>clause (ii)</w:t>
      </w:r>
      <w:r>
        <w:rPr>
          <w:rFonts w:ascii="Times New Roman;Times;serif" w:hAnsi="Times New Roman;Times;serif"/>
          <w:color w:val="000000"/>
          <w:sz w:val="18"/>
        </w:rPr>
        <w:t xml:space="preserve">, for purposes of determining the accuracy of such representations and warranties, all materiality, “Parent Material Adverse Effect” and similar qualifications set forth in such representations and warranties shall be disregarded.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(b) </w:t>
      </w:r>
      <w:r>
        <w:rPr>
          <w:rFonts w:ascii="Times New Roman;Times;serif" w:hAnsi="Times New Roman;Times;serif"/>
          <w:color w:val="000000"/>
          <w:sz w:val="18"/>
          <w:u w:val="single"/>
        </w:rPr>
        <w:t>Performance of Covenants</w:t>
      </w:r>
      <w:r>
        <w:rPr>
          <w:rFonts w:ascii="Times New Roman;Times;serif" w:hAnsi="Times New Roman;Times;serif"/>
          <w:color w:val="000000"/>
          <w:sz w:val="18"/>
        </w:rPr>
        <w:t xml:space="preserve">. Parent shall have complied with or performed in all material respects all of the obligations, covenants and agreements that Parent is required to comply with or perform at or prior to the Closing.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(c) </w:t>
      </w:r>
      <w:r>
        <w:rPr>
          <w:rFonts w:ascii="Times New Roman;Times;serif" w:hAnsi="Times New Roman;Times;serif"/>
          <w:color w:val="000000"/>
          <w:sz w:val="18"/>
          <w:u w:val="single"/>
        </w:rPr>
        <w:t>Certificate</w:t>
      </w:r>
      <w:r>
        <w:rPr>
          <w:rFonts w:ascii="Times New Roman;Times;serif" w:hAnsi="Times New Roman;Times;serif"/>
          <w:color w:val="000000"/>
          <w:sz w:val="18"/>
        </w:rPr>
        <w:t xml:space="preserve">. The Company shall have received a certificate, dated as of the Closing Date and executed by the Chief Executive Officer or Chief Financial Officer of Parent, confirming that the conditions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Section 5.3(b) </w:t>
      </w:r>
      <w:r>
        <w:rPr>
          <w:rFonts w:ascii="Times New Roman;Times;serif" w:hAnsi="Times New Roman;Times;serif"/>
          <w:color w:val="000000"/>
          <w:sz w:val="18"/>
        </w:rPr>
        <w:t xml:space="preserve">have been duly satisfied. </w:t>
      </w:r>
    </w:p>
    <w:p>
      <w:pPr>
        <w:pStyle w:val="TextBody"/>
        <w:bidi w:val="0"/>
        <w:spacing w:before="320" w:after="283"/>
        <w:jc w:val="center"/>
        <w:rPr>
          <w:rFonts w:ascii="Times New Roman;Times;serif" w:hAnsi="Times New Roman;Times;serif"/>
          <w:b/>
          <w:color w:val="000000"/>
          <w:sz w:val="18"/>
        </w:rPr>
      </w:pPr>
      <w:bookmarkStart w:id="323" w:name="tANNXA6"/>
      <w:bookmarkEnd w:id="323"/>
      <w:r>
        <w:rPr>
          <w:rFonts w:ascii="Times New Roman;Times;serif" w:hAnsi="Times New Roman;Times;serif"/>
          <w:b/>
          <w:color w:val="000000"/>
          <w:sz w:val="18"/>
        </w:rPr>
        <w:t xml:space="preserve">ARTICLE VI.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TERMINATION</w:t>
      </w:r>
      <w:r>
        <w:rPr>
          <w:rFonts w:ascii="Times New Roman;Times;serif" w:hAnsi="Times New Roman;Times;serif"/>
          <w:b/>
          <w:color w:val="000000"/>
          <w:sz w:val="18"/>
        </w:rPr>
        <w:t xml:space="preserve"> </w:t>
      </w:r>
    </w:p>
    <w:p>
      <w:pPr>
        <w:pStyle w:val="TextBody"/>
        <w:bidi w:val="0"/>
        <w:spacing w:before="140" w:after="283"/>
        <w:ind w:left="0" w:right="0" w:firstLine="400"/>
        <w:jc w:val="left"/>
        <w:rPr>
          <w:rFonts w:ascii="Times New Roman;Times;serif" w:hAnsi="Times New Roman;Times;serif"/>
          <w:color w:val="000000"/>
          <w:sz w:val="18"/>
        </w:rPr>
      </w:pPr>
      <w:bookmarkStart w:id="324" w:name="tANNX61"/>
      <w:bookmarkEnd w:id="324"/>
      <w:r>
        <w:rPr>
          <w:rFonts w:ascii="Times New Roman;Times;serif" w:hAnsi="Times New Roman;Times;serif"/>
          <w:color w:val="000000"/>
          <w:sz w:val="18"/>
        </w:rPr>
        <w:t>6.1 </w:t>
      </w:r>
      <w:r>
        <w:rPr>
          <w:rFonts w:ascii="Times New Roman;Times;serif" w:hAnsi="Times New Roman;Times;serif"/>
          <w:color w:val="000000"/>
          <w:sz w:val="18"/>
          <w:u w:val="single"/>
        </w:rPr>
        <w:t>Termination</w:t>
      </w:r>
      <w:r>
        <w:rPr>
          <w:rFonts w:ascii="Times New Roman;Times;serif" w:hAnsi="Times New Roman;Times;serif"/>
          <w:color w:val="000000"/>
          <w:sz w:val="18"/>
        </w:rPr>
        <w:t xml:space="preserve">. This Agreement may be terminated and the Merger may be abandoned: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(a) by mutual written consent of Parent and the Company at any time prior to the Effective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(b) by Parent or the Company if the Merger shall not have been consummated by 11:59 PM, Pacific Time, on June 25, 2027 (such date and time, as may be extended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the “</w:t>
      </w:r>
      <w:r>
        <w:rPr>
          <w:rFonts w:ascii="Times New Roman;Times;serif" w:hAnsi="Times New Roman;Times;serif"/>
          <w:color w:val="000000"/>
          <w:sz w:val="18"/>
          <w:u w:val="single"/>
        </w:rPr>
        <w:t>End Date</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if, as of the End Date then in effect, any of the conditions to the Closing set forth in </w:t>
      </w:r>
      <w:r>
        <w:rPr>
          <w:rFonts w:ascii="Times New Roman;Times;serif" w:hAnsi="Times New Roman;Times;serif"/>
          <w:color w:val="000000"/>
          <w:sz w:val="18"/>
          <w:u w:val="single"/>
        </w:rPr>
        <w:t xml:space="preserve">Section 5.1(b) </w:t>
      </w:r>
      <w:r>
        <w:rPr>
          <w:rFonts w:ascii="Times New Roman;Times;serif" w:hAnsi="Times New Roman;Times;serif"/>
          <w:color w:val="000000"/>
          <w:sz w:val="18"/>
        </w:rPr>
        <w:t xml:space="preserve">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(solely if the applicable Relevant Legal Restraint relates to any Antitrust Laws or FDI Laws) has not been satisfied or waived but all other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5.3</w:t>
      </w:r>
      <w:r>
        <w:rPr>
          <w:rFonts w:ascii="Times New Roman;Times;serif" w:hAnsi="Times New Roman;Times;serif"/>
          <w:color w:val="000000"/>
          <w:sz w:val="18"/>
        </w:rPr>
        <w:t xml:space="preserve"> have been satisfied (other than those conditions that by their nature are to be satisfied at the Closing, so long as such conditions are reasonably capable of being satisfied if the Closing were to occur on the End Date then in effect) or waived, then the End Date shall automatically be extended, without any action on the part of any party hereto, by three (3) months from the End Date then in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End Date shall not be automatically extended pursuant to the immediately preceding proviso more than three (3) times;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if the satisfaction or waiver of the last to be satisfied or waived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(other than those conditions that by their nature are to be satisfied at the Closing, so long as such conditions are reasonably capable of being satisfied if the Closing were to occur on the End Date) occurs less than five (5) Business Days prior to the End Date, the End Date shall be deemed extended to the date that is five (5) Business Days following the date of satisfaction or waiver of the last to be satisfied or waived of such conditions; 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if the material breach by such party of any of such party’s obligations, covenants or agreements under this Agreement shall have been the primary cause of the failure of the Effective Time to have occurred on or before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(c) by Parent or the Company at any time prior to the Effective Time if a Relevant Legal Restraint permanently preventing, enjoining or making illegal the consummation of the Merger shall have become final and non-appealable;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the party seeking to terminate the Agreement shall have used reasonable best efforts to prevent the entry of and to remove such Relevant Legal Restraint in accordance with </w:t>
      </w:r>
      <w:r>
        <w:rPr>
          <w:rFonts w:ascii="Times New Roman;Times;serif" w:hAnsi="Times New Roman;Times;serif"/>
          <w:color w:val="000000"/>
          <w:sz w:val="18"/>
          <w:u w:val="single"/>
        </w:rPr>
        <w:t xml:space="preserve">Section 4.6; </w:t>
      </w:r>
      <w:r>
        <w:rPr>
          <w:rFonts w:ascii="Times New Roman;Times;serif" w:hAnsi="Times New Roman;Times;serif"/>
          <w:color w:val="000000"/>
          <w:sz w:val="18"/>
        </w:rPr>
        <w:t xml:space="preserve">and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 party shall not be permitted to terminate this Agreement pursuant to this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the material breach by such party of any of such party’s obligations, covenants or agreements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shall have been the primary cause of the events specified in this </w:t>
      </w:r>
      <w:r>
        <w:rPr>
          <w:rFonts w:ascii="Times New Roman;Times;serif" w:hAnsi="Times New Roman;Times;serif"/>
          <w:color w:val="000000"/>
          <w:sz w:val="18"/>
          <w:u w:val="single"/>
        </w:rPr>
        <w:t>clause (c)</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(d) by Parent at any time prior to obtaining the Required Company Stockholder Vote if the Company Board shall have failed to include the Company Board Recommendation in the Proxy Statement or shall have made a Company Change in Recommendation;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(e) by the Company, at any time prior to obtaining the Required Company Stockholder Vote, in the event that (i) the Company Board shall have authorized the Company to enter into a definitive agreement relating to a Company Superior Proposal; (ii) concurrently with the termination of this Agreement, the Company enters into the definitive agreement relating to a Company Superior Proposal and pays Parent the Company Termination Fee payable to Parent pursuant to </w:t>
      </w:r>
      <w:r>
        <w:rPr>
          <w:rFonts w:ascii="Times New Roman;Times;serif" w:hAnsi="Times New Roman;Times;serif"/>
          <w:color w:val="000000"/>
          <w:sz w:val="18"/>
          <w:u w:val="single"/>
        </w:rPr>
        <w:t>Section 6.3(a)</w:t>
      </w:r>
      <w:r>
        <w:rPr>
          <w:rFonts w:ascii="Times New Roman;Times;serif" w:hAnsi="Times New Roman;Times;serif"/>
          <w:color w:val="000000"/>
          <w:sz w:val="18"/>
        </w:rPr>
        <w:t xml:space="preserve">; and (iii) the Company has otherwise complied in all material respects with the provisions of </w:t>
      </w:r>
      <w:r>
        <w:rPr>
          <w:rFonts w:ascii="Times New Roman;Times;serif" w:hAnsi="Times New Roman;Times;serif"/>
          <w:color w:val="000000"/>
          <w:sz w:val="18"/>
          <w:u w:val="single"/>
        </w:rPr>
        <w:t>Section 4.3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5" w:name="ny20081083x2_defm14a_300-annexa_pg47"/>
        <w:bookmarkEnd w:id="32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(f) by either Parent or the Company if: (i) the Company Stockholder Meeting (including any adjournments and postponements thereof) shall have been held and completed and (ii) the Required Company Stockholder Vote shall not have been obtained;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(g) by Parent if: (i) any of the Company’s representations and warranties contained in this Agreement shall be inaccurate such that the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would not be satisfied; or (ii) any of the Company’s obligations, covenants and agreements contained in this Agreement shall have been breached such that the condition set forth in </w:t>
      </w:r>
      <w:r>
        <w:rPr>
          <w:rFonts w:ascii="Times New Roman;Times;serif" w:hAnsi="Times New Roman;Times;serif"/>
          <w:color w:val="000000"/>
          <w:sz w:val="18"/>
          <w:u w:val="single"/>
        </w:rPr>
        <w:t xml:space="preserve">Section 5.2(b) </w:t>
      </w:r>
      <w:r>
        <w:rPr>
          <w:rFonts w:ascii="Times New Roman;Times;serif" w:hAnsi="Times New Roman;Times;serif"/>
          <w:color w:val="000000"/>
          <w:sz w:val="18"/>
        </w:rPr>
        <w:t xml:space="preserve">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the Company’s representations and warranties or a breach of an obligation, covenant or agreement of the Company is curable by the Company by the End Date and the Company is continuing to exercise reasonable best efforts to cure such inaccuracy or breach, then Parent may not terminate this Agreement under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the Company receives written notice of such inaccuracy or breach from Parent;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Parent shall not have the right to terminate this Agreement pursuant to this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if Parent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5.3(b)</w:t>
      </w:r>
      <w:r>
        <w:rPr>
          <w:rFonts w:ascii="Times New Roman;Times;serif" w:hAnsi="Times New Roman;Times;serif"/>
          <w:color w:val="000000"/>
          <w:sz w:val="18"/>
        </w:rPr>
        <w:t xml:space="preserve">; or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(h) by the Company if: (i) any of Parent’s representations and warranties contained in this Agreement shall be inaccurate such that the condition set forth in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would not be satisfied; or (ii) any of Parent’s obligations, covenants and agreements contained in this Agreement shall have been breached such that the condition set forth in </w:t>
      </w:r>
      <w:r>
        <w:rPr>
          <w:rFonts w:ascii="Times New Roman;Times;serif" w:hAnsi="Times New Roman;Times;serif"/>
          <w:color w:val="000000"/>
          <w:sz w:val="18"/>
          <w:u w:val="single"/>
        </w:rPr>
        <w:t xml:space="preserve">Section 5.3(b) </w:t>
      </w:r>
      <w:r>
        <w:rPr>
          <w:rFonts w:ascii="Times New Roman;Times;serif" w:hAnsi="Times New Roman;Times;serif"/>
          <w:color w:val="000000"/>
          <w:sz w:val="18"/>
        </w:rPr>
        <w:t xml:space="preserve">would not be satisfied;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for purposes of </w:t>
      </w:r>
      <w:r>
        <w:rPr>
          <w:rFonts w:ascii="Times New Roman;Times;serif" w:hAnsi="Times New Roman;Times;serif"/>
          <w:color w:val="000000"/>
          <w:sz w:val="18"/>
          <w:u w:val="single"/>
        </w:rPr>
        <w:t>clauses (i)</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(ii)</w:t>
      </w:r>
      <w:r>
        <w:rPr>
          <w:rFonts w:ascii="Times New Roman;Times;serif" w:hAnsi="Times New Roman;Times;serif"/>
          <w:color w:val="000000"/>
          <w:sz w:val="18"/>
        </w:rPr>
        <w:t xml:space="preserve"> above, if an inaccuracy in any of Parent’s representations and warranties or a breach of an obligation, covenant or agreement of Parent is curable by Parent by the End Date and Parent is continuing to exercise reasonable best efforts to cure such inaccuracy or breach, then the Company may not terminate this Agreement under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on account of such inaccuracy or breach unless such inaccuracy or breach shall remain uncured for a period of thirty (30) days commencing on the date that Parent receives written notice of such inaccuracy or breach from the Company;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the Company shall not have the right to terminate this Agreement pursuant to this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if the Company is then in breach of any of its representations, warranties, obligations, covenants or agreements contained in this Agreement, which breach would give rise to the failure of a condition set forth in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5.2(b)</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The party seeking to terminate this Agreement pursuant to this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shall give written notice of such termination to the other parties in accordance with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specifying the provision of this Agreement pursuant to which such termination is effected. Notwithstanding anything to the contrary herein, this Agreement may not be terminated after the Effective Time. </w:t>
      </w:r>
    </w:p>
    <w:p>
      <w:pPr>
        <w:pStyle w:val="TextBody"/>
        <w:bidi w:val="0"/>
        <w:spacing w:before="120" w:after="283"/>
        <w:ind w:left="0" w:right="0" w:firstLine="400"/>
        <w:jc w:val="both"/>
        <w:rPr>
          <w:rFonts w:ascii="Times New Roman;Times;serif" w:hAnsi="Times New Roman;Times;serif"/>
          <w:color w:val="000000"/>
          <w:sz w:val="18"/>
        </w:rPr>
      </w:pPr>
      <w:bookmarkStart w:id="326" w:name="tANNX62"/>
      <w:bookmarkEnd w:id="326"/>
      <w:r>
        <w:rPr>
          <w:rFonts w:ascii="Times New Roman;Times;serif" w:hAnsi="Times New Roman;Times;serif"/>
          <w:color w:val="000000"/>
          <w:sz w:val="18"/>
        </w:rPr>
        <w:t>6.2 </w:t>
      </w:r>
      <w:r>
        <w:rPr>
          <w:rFonts w:ascii="Times New Roman;Times;serif" w:hAnsi="Times New Roman;Times;serif"/>
          <w:color w:val="000000"/>
          <w:sz w:val="18"/>
          <w:u w:val="single"/>
        </w:rPr>
        <w:t>Effect of Termination</w:t>
      </w:r>
      <w:r>
        <w:rPr>
          <w:rFonts w:ascii="Times New Roman;Times;serif" w:hAnsi="Times New Roman;Times;serif"/>
          <w:color w:val="000000"/>
          <w:sz w:val="18"/>
        </w:rPr>
        <w:t xml:space="preserve">. In the event of the termination of this Agreement as provided in </w:t>
      </w:r>
      <w:r>
        <w:rPr>
          <w:rFonts w:ascii="Times New Roman;Times;serif" w:hAnsi="Times New Roman;Times;serif"/>
          <w:color w:val="000000"/>
          <w:sz w:val="18"/>
          <w:u w:val="single"/>
        </w:rPr>
        <w:t>Section 6.1</w:t>
      </w:r>
      <w:r>
        <w:rPr>
          <w:rFonts w:ascii="Times New Roman;Times;serif" w:hAnsi="Times New Roman;Times;serif"/>
          <w:color w:val="000000"/>
          <w:sz w:val="18"/>
        </w:rPr>
        <w:t xml:space="preserve">, this Agreement shall be of no further force or effect with no liability to any Person on the part of any party to this Agreement (or any of its Representatives or Affiliates);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(a) the penultimate sentence of </w:t>
      </w:r>
      <w:r>
        <w:rPr>
          <w:rFonts w:ascii="Times New Roman;Times;serif" w:hAnsi="Times New Roman;Times;serif"/>
          <w:color w:val="000000"/>
          <w:sz w:val="18"/>
          <w:u w:val="single"/>
        </w:rPr>
        <w:t>Section 4.1(a)</w:t>
      </w:r>
      <w:r>
        <w:rPr>
          <w:rFonts w:ascii="Times New Roman;Times;serif" w:hAnsi="Times New Roman;Times;serif"/>
          <w:color w:val="000000"/>
          <w:sz w:val="18"/>
        </w:rPr>
        <w:t xml:space="preserve">, this </w:t>
      </w:r>
      <w:r>
        <w:rPr>
          <w:rFonts w:ascii="Times New Roman;Times;serif" w:hAnsi="Times New Roman;Times;serif"/>
          <w:color w:val="000000"/>
          <w:sz w:val="18"/>
          <w:u w:val="single"/>
        </w:rPr>
        <w:t>Section 6.2</w:t>
      </w:r>
      <w:r>
        <w:rPr>
          <w:rFonts w:ascii="Times New Roman;Times;serif" w:hAnsi="Times New Roman;Times;serif"/>
          <w:color w:val="000000"/>
          <w:sz w:val="18"/>
        </w:rPr>
        <w:t xml:space="preserve">,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ARTICLE VII</w:t>
      </w:r>
      <w:r>
        <w:rPr>
          <w:rFonts w:ascii="Times New Roman;Times;serif" w:hAnsi="Times New Roman;Times;serif"/>
          <w:color w:val="000000"/>
          <w:sz w:val="18"/>
        </w:rPr>
        <w:t xml:space="preserve"> and the Financing Indemnity shall survive the termination of this Agreement and shall remain in full force and effect; and (b) the termination of this Agreement shall not relieve any party from any liability for any fraud or any intentional and material breach of this Agreement. For purposes of this Agreement, “intentional and material breach” means a material breach that is a consequence of an act undertaken by the breaching party with the knowledge that the taking of such act, or failure to act, would, or would be reasonably expected to, result in a material breach of this Agreement. The Non-Disclosure Agreement, the Clean Team Agreement and the Joint Defense Agreement shall not be affected by a termination of this Agreement. </w:t>
      </w:r>
    </w:p>
    <w:p>
      <w:pPr>
        <w:pStyle w:val="TextBody"/>
        <w:bidi w:val="0"/>
        <w:spacing w:before="160" w:after="283"/>
        <w:ind w:left="0" w:right="0" w:firstLine="400"/>
        <w:jc w:val="left"/>
        <w:rPr>
          <w:rFonts w:ascii="Times New Roman;Times;serif" w:hAnsi="Times New Roman;Times;serif"/>
          <w:color w:val="000000"/>
          <w:sz w:val="18"/>
        </w:rPr>
      </w:pPr>
      <w:bookmarkStart w:id="327" w:name="tANNX63"/>
      <w:bookmarkEnd w:id="327"/>
      <w:r>
        <w:rPr>
          <w:rFonts w:ascii="Times New Roman;Times;serif" w:hAnsi="Times New Roman;Times;serif"/>
          <w:color w:val="000000"/>
          <w:sz w:val="18"/>
        </w:rPr>
        <w:t>6.3 </w:t>
      </w:r>
      <w:r>
        <w:rPr>
          <w:rFonts w:ascii="Times New Roman;Times;serif" w:hAnsi="Times New Roman;Times;serif"/>
          <w:color w:val="000000"/>
          <w:sz w:val="18"/>
          <w:u w:val="single"/>
        </w:rPr>
        <w:t>Termination Fees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(a) If this Agreement is terminated by the Company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by Parent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or by either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at a time when Parent would have been entitled to terminate this Agreement pursuant to </w:t>
      </w:r>
      <w:r>
        <w:rPr>
          <w:rFonts w:ascii="Times New Roman;Times;serif" w:hAnsi="Times New Roman;Times;serif"/>
          <w:color w:val="000000"/>
          <w:sz w:val="18"/>
          <w:u w:val="single"/>
        </w:rPr>
        <w:t>Section 6.1(d)</w:t>
      </w:r>
      <w:r>
        <w:rPr>
          <w:rFonts w:ascii="Times New Roman;Times;serif" w:hAnsi="Times New Roman;Times;serif"/>
          <w:color w:val="000000"/>
          <w:sz w:val="18"/>
        </w:rPr>
        <w:t xml:space="preserve">, then, within two (2) Business Days after the termination of this Agreement (or, in the case of a termination pursuant to </w:t>
      </w:r>
      <w:r>
        <w:rPr>
          <w:rFonts w:ascii="Times New Roman;Times;serif" w:hAnsi="Times New Roman;Times;serif"/>
          <w:color w:val="000000"/>
          <w:sz w:val="18"/>
          <w:u w:val="single"/>
        </w:rPr>
        <w:t>Section 6.1(e)</w:t>
      </w:r>
      <w:r>
        <w:rPr>
          <w:rFonts w:ascii="Times New Roman;Times;serif" w:hAnsi="Times New Roman;Times;serif"/>
          <w:color w:val="000000"/>
          <w:sz w:val="18"/>
        </w:rPr>
        <w:t xml:space="preserve"> at or prior to termination),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(b) If this Agreement is terminated by Parent or the Company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by Parent pursuant to </w:t>
      </w:r>
      <w:r>
        <w:rPr>
          <w:rFonts w:ascii="Times New Roman;Times;serif" w:hAnsi="Times New Roman;Times;serif"/>
          <w:color w:val="000000"/>
          <w:sz w:val="18"/>
          <w:u w:val="single"/>
        </w:rPr>
        <w:t xml:space="preserve">Section 6.1(g) </w:t>
      </w:r>
      <w:r>
        <w:rPr>
          <w:rFonts w:ascii="Times New Roman;Times;serif" w:hAnsi="Times New Roman;Times;serif"/>
          <w:color w:val="000000"/>
          <w:sz w:val="18"/>
        </w:rPr>
        <w:t xml:space="preserve">(or by the Company or Parent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at a time when this Agreement could have been terminated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 at or prior to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at or prior to the time of the applicable breach by the Company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any Person shall have publicly announced an intention to make a Company Acquisition Proposal, or a Company Acquisition Proposal shall have been publicly disclosed, publicly announced, commenced, submitted or made and shall not have been publicly withdrawn without qualification at least five (5) Business Days prior to the date of the Company Stockholder Meeting, in the case of a termination pursuant to </w:t>
      </w:r>
      <w:r>
        <w:rPr>
          <w:rFonts w:ascii="Times New Roman;Times;serif" w:hAnsi="Times New Roman;Times;serif"/>
          <w:color w:val="000000"/>
          <w:sz w:val="18"/>
          <w:u w:val="single"/>
        </w:rPr>
        <w:t>Section 6.1(f)</w:t>
      </w:r>
      <w:r>
        <w:rPr>
          <w:rFonts w:ascii="Times New Roman;Times;serif" w:hAnsi="Times New Roman;Times;serif"/>
          <w:color w:val="000000"/>
          <w:sz w:val="18"/>
        </w:rPr>
        <w:t xml:space="preserve">, or the time of such breach, in the case of a termination pursuant to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and (ii) on or prior to the date that is twelve (12) months following the termination of this Agreement, either (A) a Company Acquisition Transaction is consummated or (B) a definitive agreement relating to a Company Acquisition Transaction is entered into by the Company or any of its Subsidiaries (it being understood that, for purposes of this </w:t>
      </w:r>
      <w:r>
        <w:rPr>
          <w:rFonts w:ascii="Times New Roman;Times;serif" w:hAnsi="Times New Roman;Times;serif"/>
          <w:color w:val="000000"/>
          <w:sz w:val="18"/>
          <w:u w:val="single"/>
        </w:rPr>
        <w:t>clause (B)</w:t>
      </w:r>
      <w:r>
        <w:rPr>
          <w:rFonts w:ascii="Times New Roman;Times;serif" w:hAnsi="Times New Roman;Times;serif"/>
          <w:color w:val="000000"/>
          <w:sz w:val="18"/>
        </w:rPr>
        <w:t xml:space="preserve">, each reference to “twenty percent (20%)” in the definition of “Company Acquisition Transaction” in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shall be deemed to be a reference to “fifty percent (50%)”), then, on the date of the earlier of the consummation of such Company Acquisition Transaction or entering into a definitive agreement relating to a Company Acquisition Transaction, the Company shall cause to be paid to Parent the Company Termination Fee.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(c) If this Agreement is terminated (i) by Parent or the Company pursuant to </w:t>
      </w:r>
      <w:r>
        <w:rPr>
          <w:rFonts w:ascii="Times New Roman;Times;serif" w:hAnsi="Times New Roman;Times;serif"/>
          <w:color w:val="000000"/>
          <w:sz w:val="18"/>
          <w:u w:val="single"/>
        </w:rPr>
        <w:t>Section 6.1(b)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 xml:space="preserve">Section 6.1(c) </w:t>
      </w:r>
      <w:r>
        <w:rPr>
          <w:rFonts w:ascii="Times New Roman;Times;serif" w:hAnsi="Times New Roman;Times;serif"/>
          <w:color w:val="000000"/>
          <w:sz w:val="18"/>
        </w:rPr>
        <w:t xml:space="preserve">(but, with respect to </w:t>
      </w:r>
      <w:r>
        <w:rPr>
          <w:rFonts w:ascii="Times New Roman;Times;serif" w:hAnsi="Times New Roman;Times;serif"/>
          <w:color w:val="000000"/>
          <w:sz w:val="18"/>
          <w:u w:val="single"/>
        </w:rPr>
        <w:t>Section 6.1(c)</w:t>
      </w:r>
      <w:r>
        <w:rPr>
          <w:rFonts w:ascii="Times New Roman;Times;serif" w:hAnsi="Times New Roman;Times;serif"/>
          <w:color w:val="000000"/>
          <w:sz w:val="18"/>
        </w:rPr>
        <w:t xml:space="preserve">, if relating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as of the time of such termination, the only conditions to Closing set forth in </w:t>
      </w:r>
      <w:r>
        <w:rPr>
          <w:rFonts w:ascii="Times New Roman;Times;serif" w:hAnsi="Times New Roman;Times;serif"/>
          <w:color w:val="000000"/>
          <w:sz w:val="18"/>
          <w:u w:val="single"/>
        </w:rPr>
        <w:t>Sections 5.1</w:t>
      </w:r>
      <w:r>
        <w:rPr>
          <w:rFonts w:ascii="Times New Roman;Times;serif" w:hAnsi="Times New Roman;Times;serif"/>
          <w:color w:val="000000"/>
          <w:sz w:val="18"/>
        </w:rPr>
        <w:t xml:space="preserve">, </w:t>
      </w:r>
      <w:r>
        <w:rPr>
          <w:rFonts w:ascii="Times New Roman;Times;serif" w:hAnsi="Times New Roman;Times;serif"/>
          <w:color w:val="000000"/>
          <w:sz w:val="18"/>
          <w:u w:val="single"/>
        </w:rPr>
        <w:t>5.2</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 xml:space="preserve">5.3 </w:t>
      </w:r>
      <w:r>
        <w:rPr>
          <w:rFonts w:ascii="Times New Roman;Times;serif" w:hAnsi="Times New Roman;Times;serif"/>
          <w:color w:val="000000"/>
          <w:sz w:val="18"/>
        </w:rPr>
        <w:t xml:space="preserve">that have not been satisfied or waived (other than those conditions that by their nature are to be satisfied at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28" w:name="ny20081083x2_defm14a_300-annexa_pg48"/>
        <w:bookmarkEnd w:id="32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Closing, so long as such conditions would have been capable of being satisfied if the Closing were to occur on the date the notice of termination is delivered) are those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(ii) by the Company pursuant to </w:t>
      </w:r>
      <w:r>
        <w:rPr>
          <w:rFonts w:ascii="Times New Roman;Times;serif" w:hAnsi="Times New Roman;Times;serif"/>
          <w:color w:val="000000"/>
          <w:sz w:val="18"/>
          <w:u w:val="single"/>
        </w:rPr>
        <w:t xml:space="preserve">Section 6.1(h)(ii) </w:t>
      </w:r>
      <w:r>
        <w:rPr>
          <w:rFonts w:ascii="Times New Roman;Times;serif" w:hAnsi="Times New Roman;Times;serif"/>
          <w:color w:val="000000"/>
          <w:sz w:val="18"/>
        </w:rPr>
        <w:t xml:space="preserve">due to Parent’s or Merger Sub’s material breach of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which results in any of the conditions to Closing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being incapable of being satisfied by the End Date, then, within two (2) Business Days following such termination, Parent shall cause to be paid to the Company the Regulatory Termination Fee;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Regulatory Termination Fee shall not be payable pursuant to this </w:t>
      </w:r>
      <w:r>
        <w:rPr>
          <w:rFonts w:ascii="Times New Roman;Times;serif" w:hAnsi="Times New Roman;Times;serif"/>
          <w:color w:val="000000"/>
          <w:sz w:val="18"/>
          <w:u w:val="single"/>
        </w:rPr>
        <w:t xml:space="preserve">Section 6.3(c) </w:t>
      </w:r>
      <w:r>
        <w:rPr>
          <w:rFonts w:ascii="Times New Roman;Times;serif" w:hAnsi="Times New Roman;Times;serif"/>
          <w:color w:val="000000"/>
          <w:sz w:val="18"/>
        </w:rPr>
        <w:t xml:space="preserve">if the Company shall have materially breached any of its obligations under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primarily relating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relating primarily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and such breach shall have been the primary cause of the failure of the conditions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(with respect to </w:t>
      </w:r>
      <w:r>
        <w:rPr>
          <w:rFonts w:ascii="Times New Roman;Times;serif" w:hAnsi="Times New Roman;Times;serif"/>
          <w:color w:val="000000"/>
          <w:sz w:val="18"/>
          <w:u w:val="single"/>
        </w:rPr>
        <w:t>Section 5.1(c)</w:t>
      </w:r>
      <w:r>
        <w:rPr>
          <w:rFonts w:ascii="Times New Roman;Times;serif" w:hAnsi="Times New Roman;Times;serif"/>
          <w:color w:val="000000"/>
          <w:sz w:val="18"/>
        </w:rPr>
        <w:t xml:space="preserve">, if such Closing condition failure relates to the matters set forth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to be satisfied by the End Date.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(d) Any Company Termination Fee due and payable by the Company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Parent. For the avoidance of doubt, the Company Termination Fee shall be payable by the Company only once and not in duplication even though the Company Termination Fee may be payable by the Company under one or more provisions hereof. If the Company fails to pay the Company Termination Fee when due and payable by the Company, then the Company shall pay to Parent interest on such overdue amount (for the period commencing as of the date such overdue amount was originally required to be paid and ending on the date such overdue amount is actually paid to Parent) at a rate per annum equal to the “prime rate” (as published in The Wall Street Journal) in effect on the date such amount was originally required to be paid, and the Company shall pay the costs and expenses (including reasonable and documented legal fees and out-of-pocket expenses) in connection with any action, including the filing of any lawsuit or other legal action, taken by Parent to collect payment. The parties agree that if the Company Termination Fee becomes payable pursuant to the terms of this Agreement by, and is paid by, the Company, then such Company Termination Fee shall be Parent’s sole and exclusive remedy for damages against the Company and its Affiliates and its and their Representatives in connection with this Agreement, and in no event will Parent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Company Termination Fee will not relieve the Company from liability for any fraud or any intentional and material breach of this Agreement. Nothing in this </w:t>
      </w:r>
      <w:r>
        <w:rPr>
          <w:rFonts w:ascii="Times New Roman;Times;serif" w:hAnsi="Times New Roman;Times;serif"/>
          <w:color w:val="000000"/>
          <w:sz w:val="18"/>
          <w:u w:val="single"/>
        </w:rPr>
        <w:t>Section 6.3(d)</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6.3(e)</w:t>
      </w:r>
      <w:r>
        <w:rPr>
          <w:rFonts w:ascii="Times New Roman;Times;serif" w:hAnsi="Times New Roman;Times;serif"/>
          <w:color w:val="000000"/>
          <w:sz w:val="18"/>
        </w:rPr>
        <w:t xml:space="preserve"> shall limit the rights of Parent, Merger Sub or the Company under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(or otherwise with respect to injunctive or similar relief), in each case prior to the termination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(e) Any Regulatory Termination Fee due and payable by Parent under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shall be paid by wire transfer of immediately available funds to an account designated in writing by the Company. For the avoidance of doubt, the Regulatory Termination Fee shall be payable by Parent only once and not in duplication even though a termination fee may be payable by Parent under one or more provisions hereof. If Parent fails to pay the Regulatory Termination Fee, as applicable, when due and payable by Parent, then Parent shall pay to the Company interest on such overdue amount (for the period commencing as of the date such overdue amount was originally required to be paid and ending on the date such overdue amount is actually paid to the Company) at a rate per annum equal to the “prime rate” (as published in The Wall Street Journal) in effect on the date such amount was originally required to be paid, and Parent shall pay the costs and expenses (including reasonable and documented legal fees and out-of-pocket expenses) in connection with any action, including the filing of any lawsuit or other legal action, taken by the Company to collect payment. The parties agree that if the Regulatory Termination Fee becomes payable pursuant to the terms of this Agreement by, and is paid by, Parent, then such Regulatory Termination Fee shall be the Company’s sole and exclusive remedy for damages against Parent, Merger Sub and their respective Affiliates and its and their Representatives and the Financing Related Parties in connection with this Agreement, and in no event will the Company or any other person seek to recover any other money damages or seek any other remedy based on a claim in law or equity for any reason in connection with this Agreement;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payment of the Regulatory Termination Fee will not relieve Parent from liability for the Financing Indemnity or any fraud or any intentional and material breach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(f) Notwithstanding anything in this Agreement to the contrary, (i) in the event this Agreement is terminated by the Company for any reason at a time when Parent would have had the right to terminate this Agreement and receive the Company Termination Fee, Parent shall be entitled to receipt of the Company Termination Fee that would have been (or would have subsequently become) payable had Parent terminated this Agreement at such time, and (ii) in the event this Agreement is terminated by Parent for any reason at a time when the Company would have had the right to terminate this Agreement and receive the Regulatory Termination Fee, the Company shall be entitled to receipt of the Regulatory Termination Fee, as applicable, that would have been (or would have subsequently become) payable had the Company terminated this Agreement at such time.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(g) Each of the parties acknowledges that the agreements contained in this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are an integral part of the transactions contemplated by this Agreement, and that without these agreements the parties would not enter into this Agreement. </w:t>
      </w:r>
    </w:p>
    <w:p>
      <w:pPr>
        <w:pStyle w:val="TextBody"/>
        <w:bidi w:val="0"/>
        <w:spacing w:before="400" w:after="283"/>
        <w:jc w:val="center"/>
        <w:rPr>
          <w:rFonts w:ascii="Times New Roman;Times;serif" w:hAnsi="Times New Roman;Times;serif"/>
          <w:b/>
          <w:color w:val="000000"/>
          <w:sz w:val="18"/>
        </w:rPr>
      </w:pPr>
      <w:bookmarkStart w:id="329" w:name="tANNXA7"/>
      <w:bookmarkEnd w:id="329"/>
      <w:r>
        <w:rPr>
          <w:rFonts w:ascii="Times New Roman;Times;serif" w:hAnsi="Times New Roman;Times;serif"/>
          <w:b/>
          <w:color w:val="000000"/>
          <w:sz w:val="18"/>
        </w:rPr>
        <w:t xml:space="preserve">ARTICLE VII.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u w:val="single"/>
        </w:rPr>
        <w:t>MISCELLANEOUS PROVISIONS</w:t>
      </w:r>
      <w:r>
        <w:rPr>
          <w:rFonts w:ascii="Times New Roman;Times;serif" w:hAnsi="Times New Roman;Times;serif"/>
          <w:b/>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0" w:name="tANNX71"/>
      <w:bookmarkEnd w:id="330"/>
      <w:r>
        <w:rPr>
          <w:rFonts w:ascii="Times New Roman;Times;serif" w:hAnsi="Times New Roman;Times;serif"/>
          <w:color w:val="000000"/>
          <w:sz w:val="18"/>
        </w:rPr>
        <w:t>7.1 </w:t>
      </w:r>
      <w:r>
        <w:rPr>
          <w:rFonts w:ascii="Times New Roman;Times;serif" w:hAnsi="Times New Roman;Times;serif"/>
          <w:color w:val="000000"/>
          <w:sz w:val="18"/>
          <w:u w:val="single"/>
        </w:rPr>
        <w:t>Amendment</w:t>
      </w:r>
      <w:r>
        <w:rPr>
          <w:rFonts w:ascii="Times New Roman;Times;serif" w:hAnsi="Times New Roman;Times;serif"/>
          <w:color w:val="000000"/>
          <w:sz w:val="18"/>
        </w:rPr>
        <w:t xml:space="preserve">. This Agreement may be amended at any time prior to the Effective Time (whether before or after receipt of the Required Company Stockholder Vote) by an instrument in writing signed on behalf of each of the parties 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after the Required Company Stockholder Vote has been received, no amendment shall be made which by applicable Legal Requirement or regulation of Nasdaq requires further approval of the stockholders of the Company without the further approval of such stockholders.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1" w:name="ny20081083x2_defm14a_300-annexa_pg49"/>
        <w:bookmarkEnd w:id="33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bookmarkStart w:id="332" w:name="tANNX72"/>
      <w:bookmarkEnd w:id="332"/>
      <w:r>
        <w:rPr>
          <w:rFonts w:ascii="Times New Roman;Times;serif" w:hAnsi="Times New Roman;Times;serif"/>
          <w:color w:val="000000"/>
          <w:sz w:val="18"/>
        </w:rPr>
        <w:t>7.2 </w:t>
      </w:r>
      <w:r>
        <w:rPr>
          <w:rFonts w:ascii="Times New Roman;Times;serif" w:hAnsi="Times New Roman;Times;serif"/>
          <w:color w:val="000000"/>
          <w:sz w:val="18"/>
          <w:u w:val="single"/>
        </w:rPr>
        <w:t>Waiver</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(a) Except as otherwise provided in this Agreement, any failure of any of the parties to comply with any obligation, covenant, agreement or condition herein may be waived by the party or parties entitled to the benefits thereof only by a written instrument signed by the party granting such waiver. Any such waiver shall not be applicable or have any effect except in the specific instance in which it is given.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(b) No failure on the part of any party to exercise any power, right, privilege or remedy under this Agreement, and no delay on the part of any party in exercising any power, right, privilege or remedy under this Agreement, shall operate as a waiver of such power, right, privilege or remedy. No single or partial exercise of any such power, right, privilege or remedy shall preclude any other or further exercise thereof or of any other power, right, privilege or remedy. </w:t>
      </w:r>
    </w:p>
    <w:p>
      <w:pPr>
        <w:pStyle w:val="TextBody"/>
        <w:bidi w:val="0"/>
        <w:spacing w:before="120" w:after="283"/>
        <w:ind w:left="0" w:right="0" w:firstLine="400"/>
        <w:jc w:val="both"/>
        <w:rPr>
          <w:rFonts w:ascii="Times New Roman;Times;serif" w:hAnsi="Times New Roman;Times;serif"/>
          <w:color w:val="000000"/>
          <w:sz w:val="18"/>
        </w:rPr>
      </w:pPr>
      <w:bookmarkStart w:id="333" w:name="tANNX73"/>
      <w:bookmarkEnd w:id="333"/>
      <w:r>
        <w:rPr>
          <w:rFonts w:ascii="Times New Roman;Times;serif" w:hAnsi="Times New Roman;Times;serif"/>
          <w:color w:val="000000"/>
          <w:sz w:val="18"/>
        </w:rPr>
        <w:t>7.3 </w:t>
      </w:r>
      <w:r>
        <w:rPr>
          <w:rFonts w:ascii="Times New Roman;Times;serif" w:hAnsi="Times New Roman;Times;serif"/>
          <w:color w:val="000000"/>
          <w:sz w:val="18"/>
          <w:u w:val="single"/>
        </w:rPr>
        <w:t>No Survival of Representations and Warranties</w:t>
      </w:r>
      <w:r>
        <w:rPr>
          <w:rFonts w:ascii="Times New Roman;Times;serif" w:hAnsi="Times New Roman;Times;serif"/>
          <w:color w:val="000000"/>
          <w:sz w:val="18"/>
        </w:rPr>
        <w:t xml:space="preserve">. None of the representations and warranties contained in this Agreement, or contained in any certificate, schedule or document delivered pursuant to this Agreement or in connection with any of the transactions contemplated by this Agreement, shall survive the Effective Time. This </w:t>
      </w:r>
      <w:r>
        <w:rPr>
          <w:rFonts w:ascii="Times New Roman;Times;serif" w:hAnsi="Times New Roman;Times;serif"/>
          <w:color w:val="000000"/>
          <w:sz w:val="18"/>
          <w:u w:val="single"/>
        </w:rPr>
        <w:t>Section 7.3</w:t>
      </w:r>
      <w:r>
        <w:rPr>
          <w:rFonts w:ascii="Times New Roman;Times;serif" w:hAnsi="Times New Roman;Times;serif"/>
          <w:color w:val="000000"/>
          <w:sz w:val="18"/>
        </w:rPr>
        <w:t xml:space="preserve"> shall not limit any covenant or agreement contained in this Agreement that by its terms is to be performed in whole or in part after the Effective Time. </w:t>
      </w:r>
    </w:p>
    <w:p>
      <w:pPr>
        <w:pStyle w:val="TextBody"/>
        <w:bidi w:val="0"/>
        <w:spacing w:before="160" w:after="283"/>
        <w:ind w:left="0" w:right="0" w:firstLine="400"/>
        <w:jc w:val="left"/>
        <w:rPr>
          <w:rFonts w:ascii="Times New Roman;Times;serif" w:hAnsi="Times New Roman;Times;serif"/>
          <w:color w:val="000000"/>
          <w:sz w:val="18"/>
        </w:rPr>
      </w:pPr>
      <w:bookmarkStart w:id="334" w:name="tANNX74"/>
      <w:bookmarkEnd w:id="334"/>
      <w:r>
        <w:rPr>
          <w:rFonts w:ascii="Times New Roman;Times;serif" w:hAnsi="Times New Roman;Times;serif"/>
          <w:color w:val="000000"/>
          <w:sz w:val="18"/>
        </w:rPr>
        <w:t>7.4 </w:t>
      </w:r>
      <w:r>
        <w:rPr>
          <w:rFonts w:ascii="Times New Roman;Times;serif" w:hAnsi="Times New Roman;Times;serif"/>
          <w:color w:val="000000"/>
          <w:sz w:val="18"/>
          <w:u w:val="single"/>
        </w:rPr>
        <w:t>Entire Agreement; Non-Reliance; Third-Party Beneficiaries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the Company Disclosure Schedule, the Parent Disclosure Schedule, the Non-Disclosure Agreement, the Clean Team Agreement and the Joint Defense Agreement constitute the entire agreement and supersede all prior and contemporaneous agreements and understandings, both written and oral, among or between any of the parties with respect to the subject matter hereof and thereof.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(i) Parent and Merger Sub acknowledge and agree that the Company has not made and is not making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that none of Parent, Merger Sub or any other Parent Subsidiary or any of their respective Representatives is relying on, and none of the foregoing has relied on, in connection with each of Parent’s and Merger Sub’s entry into this Agreement and agreement to consummate the transactions contemplated hereby or otherwise, any representations or warranties, express or implied, whatsoever regarding the Company, any of its Affiliates, any of its or their respective Representatives, any of the Company’s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that no Representative of the Company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5.2(d)</w:t>
      </w:r>
      <w:r>
        <w:rPr>
          <w:rFonts w:ascii="Times New Roman;Times;serif" w:hAnsi="Times New Roman;Times;serif"/>
          <w:color w:val="000000"/>
          <w:sz w:val="18"/>
        </w:rPr>
        <w:t xml:space="preserve">; and (ii) without limiting the foregoing, Parent and Merger Sub acknowledge and agree that (x) the Company has not made and is not making any representations or warranties whatsoever regarding, (y) neither the Company nor any other Person will have or be subject to any liability or other obligation to Parent, Merger Sub or their respective Representatives or Affiliates or any other Person resulting from Parent’s, Merger Sub’s or their respective Representatives’ or Affiliates’ use of, and (z) none of Parent, Merger Sub, or their respective Representatives has relied on, (A) any forecasts, projections, estimates or budgets discussed with, delivered to or made available to Parent, Merger Sub or to any of their Representatives, or otherwise (including in certain “data rooms,” “virtual rooms,” management presentations or in any form in expectation of, or in connection with, the transactions contemplated hereby) regarding the future revenues, future results of operations (or any component thereof), future cash flows or future financial condition (or any component thereof) of the Company or any Company Subsidiary or the future business and operations of the Company or any Company Subsidiary or (B) oral or written information made available to Parent or Parent’s Affiliates or Representatives in the course of their due diligence investigation of the Company,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(c) Without limiting the generality of </w:t>
      </w:r>
      <w:r>
        <w:rPr>
          <w:rFonts w:ascii="Times New Roman;Times;serif" w:hAnsi="Times New Roman;Times;serif"/>
          <w:color w:val="000000"/>
          <w:sz w:val="18"/>
          <w:u w:val="single"/>
        </w:rPr>
        <w:t>Section 7.4(a)</w:t>
      </w:r>
      <w:r>
        <w:rPr>
          <w:rFonts w:ascii="Times New Roman;Times;serif" w:hAnsi="Times New Roman;Times;serif"/>
          <w:color w:val="000000"/>
          <w:sz w:val="18"/>
        </w:rPr>
        <w:t xml:space="preserve">, except for the representations and warranties expressly contained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(i) the Company acknowledges and agrees that each of Parent and Merger Sub has not made and is not making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that none of the Company, its Subsidiaries or any of their respective Representatives is relying on, and none of the foregoing has relied on, in connection with the Company’s entry into this Agreement and agreement to consummate the transactions contemplated hereby or otherwise, any representations or warranties, express or implied, whatsoever regarding Parent, Merger Sub, any of their respective Affiliates, any of its or their respective Representatives, any of Parent’s businesses or operations in connection with this Agreement, any subject matter of this Agreement or any other matter, express or implied,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that no Representative of Parent or any other Person has made or is making any such representations or warranties except for the representations and warranties expressly set forth in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of this Agreement and the certificate delivered pursuant to </w:t>
      </w:r>
      <w:r>
        <w:rPr>
          <w:rFonts w:ascii="Times New Roman;Times;serif" w:hAnsi="Times New Roman;Times;serif"/>
          <w:color w:val="000000"/>
          <w:sz w:val="18"/>
          <w:u w:val="single"/>
        </w:rPr>
        <w:t>Section 5.3(c)</w:t>
      </w:r>
      <w:r>
        <w:rPr>
          <w:rFonts w:ascii="Times New Roman;Times;serif" w:hAnsi="Times New Roman;Times;serif"/>
          <w:color w:val="000000"/>
          <w:sz w:val="18"/>
        </w:rPr>
        <w:t xml:space="preserve">; and (ii) without limiting the foregoing, the Company acknowledges and agrees that (x) none of Parent or Merger Sub has made and is not making any representations or warranties whatsoever regarding, (y) none of Parent, Merger Sub or any other Person will have or be subject to any liability or other obligation to the Company or their Representatives or Affiliates or any other Person resulting from the Company’s or their Representatives’ or Affiliates’ use of and (z) none of the Company, its Subsidiaries or any of their respective Representatives has relied on, (A) any forecasts, projections, estimates or budgets discussed with, delivered to or made available to the Company or to any of the Company’s Representatives, or otherwise (including in certain “data rooms,” “virtual rooms,” management presentations or in any form in expectation of,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5" w:name="ny20081083x2_defm14a_300-annexa_pg50"/>
        <w:bookmarkEnd w:id="33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40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or in connection with, the transactions contemplated hereby) regarding the future revenues, future results of operations (or any component thereof), future cash flows or future financial condition (or any component thereof) of Parent or any Parent Subsidiary or the future business and operations of Parent or any Parent Subsidiary or (B) any oral or written information made available to the Company or the Company’s Affiliates or Representatives in the course of their due diligence investigation of Parent, Merger Sub, the negotiation of this Agreement or in the course of the transactions contemplated hereby.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(d) Parent, the Company and Merger Sub agree that their respective representations and warranties set forth in this Agreement are solely for the benefit of the other parties hereto, in accordance with and subject to the terms of this Agreement, and this Agreement is not intended to, and does not, confer upon any Person other than Parent, the Company, Merger Sub and their respective successors, legal representatives and permitted assigns any rights or remedies, express or implied, hereunder, including the right to rely upon the representations and warranties set forth in this Agreement, except as set forth in </w:t>
      </w:r>
      <w:r>
        <w:rPr>
          <w:rFonts w:ascii="Times New Roman;Times;serif" w:hAnsi="Times New Roman;Times;serif"/>
          <w:color w:val="000000"/>
          <w:sz w:val="18"/>
          <w:u w:val="single"/>
        </w:rPr>
        <w:t>Section 7.7</w:t>
      </w:r>
      <w:r>
        <w:rPr>
          <w:rFonts w:ascii="Times New Roman;Times;serif" w:hAnsi="Times New Roman;Times;serif"/>
          <w:color w:val="000000"/>
          <w:sz w:val="18"/>
        </w:rPr>
        <w:t xml:space="preserv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prior to the Effective Time, the Company shall have the right, on behalf of the holders of shares of Company Common Stock, Company RSUs, Company PSUs and Company MSUs to pursue claims for damages (which may include damages based on the loss of the economic benefits of the Merger taking into account the amount of Merger Consideration and the loss of premium offered to such holders) under this Agreement in the event of fraud or any intentional and material breach of this Agreement by Parent or Merger Sub to the fullest extent provided by Section 261(a)(1) of the DGCL, it being agreed that in no event shall any such holder be entitled to directly enforce any rights. Without limiting the generality of the foregoing, Parent and Merger Sub acknowledge and agree that any failure of Parent or Merger Sub to cause the Merger to be effective following the satisfaction of the conditions set forth in </w:t>
      </w:r>
      <w:r>
        <w:rPr>
          <w:rFonts w:ascii="Times New Roman;Times;serif" w:hAnsi="Times New Roman;Times;serif"/>
          <w:color w:val="000000"/>
          <w:sz w:val="18"/>
          <w:u w:val="single"/>
        </w:rPr>
        <w:t>ARTICLE V</w:t>
      </w:r>
      <w:r>
        <w:rPr>
          <w:rFonts w:ascii="Times New Roman;Times;serif" w:hAnsi="Times New Roman;Times;serif"/>
          <w:color w:val="000000"/>
          <w:sz w:val="18"/>
        </w:rPr>
        <w:t xml:space="preserve"> will be deemed to constitute an intentional and material breach of this Agreement. The representations and warranties in this Agreement are the product of negotiations among the parties. Any inaccuracies in such representations and warranties are subject to waiver by the parties in accordance with this Agreement without notice or liability to any other Person. In some instances, the representations and warranties in this Agreement may represent an allocation among the parties of risks associated with particular matters regardless of the knowledge of any of the parties. Consequently, Persons other than the parties may not rely upon the representations and warranties in this Agreement as characterizations of actual facts or circumstances as of the date of this Agreement or as of any other date. </w:t>
      </w:r>
    </w:p>
    <w:p>
      <w:pPr>
        <w:pStyle w:val="TextBody"/>
        <w:bidi w:val="0"/>
        <w:spacing w:before="16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(e) Notwithstanding the foregoing, nothing in this </w:t>
      </w:r>
      <w:r>
        <w:rPr>
          <w:rFonts w:ascii="Times New Roman;Times;serif" w:hAnsi="Times New Roman;Times;serif"/>
          <w:color w:val="000000"/>
          <w:sz w:val="18"/>
          <w:u w:val="single"/>
        </w:rPr>
        <w:t>Section 7.4</w:t>
      </w:r>
      <w:r>
        <w:rPr>
          <w:rFonts w:ascii="Times New Roman;Times;serif" w:hAnsi="Times New Roman;Times;serif"/>
          <w:color w:val="000000"/>
          <w:sz w:val="18"/>
        </w:rPr>
        <w:t xml:space="preserve"> shall restrain, limit, restrict or prohibit any claim based on fraud. </w:t>
      </w:r>
    </w:p>
    <w:p>
      <w:pPr>
        <w:pStyle w:val="TextBody"/>
        <w:bidi w:val="0"/>
        <w:spacing w:before="160" w:after="283"/>
        <w:ind w:left="0" w:right="0" w:firstLine="400"/>
        <w:jc w:val="left"/>
        <w:rPr>
          <w:rFonts w:ascii="Times New Roman;Times;serif" w:hAnsi="Times New Roman;Times;serif"/>
          <w:color w:val="000000"/>
          <w:sz w:val="18"/>
        </w:rPr>
      </w:pPr>
      <w:bookmarkStart w:id="336" w:name="tANNX75"/>
      <w:bookmarkEnd w:id="336"/>
      <w:r>
        <w:rPr>
          <w:rFonts w:ascii="Times New Roman;Times;serif" w:hAnsi="Times New Roman;Times;serif"/>
          <w:color w:val="000000"/>
          <w:sz w:val="18"/>
        </w:rPr>
        <w:t>7.5 </w:t>
      </w:r>
      <w:r>
        <w:rPr>
          <w:rFonts w:ascii="Times New Roman;Times;serif" w:hAnsi="Times New Roman;Times;serif"/>
          <w:color w:val="000000"/>
          <w:sz w:val="18"/>
          <w:u w:val="single"/>
        </w:rPr>
        <w:t>Governing Law; Jurisdiction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(a) This Agreement is made under, and shall be construed and enforced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the terms of this Agreement. Each of the parties hereto: (i) consents to and submits to the exclusive personal jurisdiction of the Court of Chancery of the State of Delaware or, if that court does not have jurisdiction, a federal court sitting in Delaware in any action or proceeding arising out of or relating to this Agreement or any of the transactions contemplated by this Agreement; (ii) agrees that all claims in respect of such action or proceeding shall be heard and determined in any such court; (iii) shall not attempt to deny or defeat such personal jurisdiction by motion or other request for leave from any such court; and (iv) shall not bring any action or proceeding arising out of or relating to this Agreement or any of the transactions contemplated by this Agreement in any other court. Each of the parties hereto waives any defense of inconvenient forum to the maintenance of any action or proceeding so brought and waives any bond, surety or other security that might be required of any other Person with respect thereto.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(b) EACH OF THE PARTIES HERETO HEREBY WAIVES TO THE FULLEST EXTENT PERMITTED BY APPLICABLE LEGAL REQUIREMENTS ANY RIGHT IT MAY HAVE TO A TRIAL BY JURY WITH RESPECT TO ANY LITIGATION DIRECTLY OR INDIRECTLY ARISING OUT OF, UNDER OR IN CONNECTION WITH THIS AGREEMENT OR THE TRANSACTIONS CONTEMPLATED BY THIS AGREEMENT. Each of the parties hereto acknowledges that it and the other parties have been induced to enter into this Agreement and the transactions contemplated by this Agreement, as applicable, by, among other things, the mutual waivers and certifications in this </w:t>
      </w:r>
      <w:r>
        <w:rPr>
          <w:rFonts w:ascii="Times New Roman;Times;serif" w:hAnsi="Times New Roman;Times;serif"/>
          <w:color w:val="000000"/>
          <w:sz w:val="18"/>
          <w:u w:val="single"/>
        </w:rPr>
        <w:t>Section 7.5</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7" w:name="tANNX76"/>
      <w:bookmarkEnd w:id="337"/>
      <w:r>
        <w:rPr>
          <w:rFonts w:ascii="Times New Roman;Times;serif" w:hAnsi="Times New Roman;Times;serif"/>
          <w:color w:val="000000"/>
          <w:sz w:val="18"/>
        </w:rPr>
        <w:t>7.6 </w:t>
      </w:r>
      <w:r>
        <w:rPr>
          <w:rFonts w:ascii="Times New Roman;Times;serif" w:hAnsi="Times New Roman;Times;serif"/>
          <w:color w:val="000000"/>
          <w:sz w:val="18"/>
          <w:u w:val="single"/>
        </w:rPr>
        <w:t>Payment of Expenses</w:t>
      </w:r>
      <w:r>
        <w:rPr>
          <w:rFonts w:ascii="Times New Roman;Times;serif" w:hAnsi="Times New Roman;Times;serif"/>
          <w:color w:val="000000"/>
          <w:sz w:val="18"/>
        </w:rPr>
        <w:t xml:space="preserve">. Whether or not the Merger is consummated, each party hereto shall pay its own expenses incident to preparing for, entering into and carrying out this Agreement and the transactions contemplated hereby;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Parent shall pay all filing fees under the HSR Act and under any other applicable Antitrust Laws. Notwithstanding the foregoing, nothing in this </w:t>
      </w:r>
      <w:r>
        <w:rPr>
          <w:rFonts w:ascii="Times New Roman;Times;serif" w:hAnsi="Times New Roman;Times;serif"/>
          <w:color w:val="000000"/>
          <w:sz w:val="18"/>
          <w:u w:val="single"/>
        </w:rPr>
        <w:t>Section 7.6</w:t>
      </w:r>
      <w:r>
        <w:rPr>
          <w:rFonts w:ascii="Times New Roman;Times;serif" w:hAnsi="Times New Roman;Times;serif"/>
          <w:color w:val="000000"/>
          <w:sz w:val="18"/>
        </w:rPr>
        <w:t xml:space="preserve"> shall limit or apply to the Financing Indemnity or the payments required by </w:t>
      </w:r>
      <w:r>
        <w:rPr>
          <w:rFonts w:ascii="Times New Roman;Times;serif" w:hAnsi="Times New Roman;Times;serif"/>
          <w:color w:val="000000"/>
          <w:sz w:val="18"/>
          <w:u w:val="single"/>
        </w:rPr>
        <w:t>Section 6.3</w:t>
      </w:r>
      <w:r>
        <w:rPr>
          <w:rFonts w:ascii="Times New Roman;Times;serif" w:hAnsi="Times New Roman;Times;serif"/>
          <w:color w:val="000000"/>
          <w:sz w:val="18"/>
        </w:rPr>
        <w:t xml:space="preserve">. </w:t>
      </w:r>
    </w:p>
    <w:p>
      <w:pPr>
        <w:pStyle w:val="TextBody"/>
        <w:bidi w:val="0"/>
        <w:spacing w:before="120" w:after="283"/>
        <w:ind w:left="0" w:right="0" w:firstLine="400"/>
        <w:jc w:val="both"/>
        <w:rPr>
          <w:rFonts w:ascii="Times New Roman;Times;serif" w:hAnsi="Times New Roman;Times;serif"/>
          <w:color w:val="000000"/>
          <w:sz w:val="18"/>
        </w:rPr>
      </w:pPr>
      <w:bookmarkStart w:id="338" w:name="tANNX77"/>
      <w:bookmarkEnd w:id="338"/>
      <w:r>
        <w:rPr>
          <w:rFonts w:ascii="Times New Roman;Times;serif" w:hAnsi="Times New Roman;Times;serif"/>
          <w:color w:val="000000"/>
          <w:sz w:val="18"/>
        </w:rPr>
        <w:t>7.7 </w:t>
      </w:r>
      <w:r>
        <w:rPr>
          <w:rFonts w:ascii="Times New Roman;Times;serif" w:hAnsi="Times New Roman;Times;serif"/>
          <w:color w:val="000000"/>
          <w:sz w:val="18"/>
          <w:u w:val="single"/>
        </w:rPr>
        <w:t>Assignability; Parties in Interest</w:t>
      </w:r>
      <w:r>
        <w:rPr>
          <w:rFonts w:ascii="Times New Roman;Times;serif" w:hAnsi="Times New Roman;Times;serif"/>
          <w:color w:val="000000"/>
          <w:sz w:val="18"/>
        </w:rPr>
        <w:t xml:space="preserve">. This Agreement shall be binding upon, and shall be enforceable by and inure to the benefit of, the parties hereto and their respective successors and permitted assigns. This Agreement shall not be assignable by any party, in whole or in part, by operation of law or otherwise, without the express prior written consent of the other parties hereto;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notwithstanding the foregoing, Parent and Merger Sub may assign any or all of their rights, interests and obligations to wholly owned Subsidiaries of Parent or may assign as collateral security their rights and interests to any lender or agent Financing Sources in connection with the Financing in each case without the prior written consent of any other party;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no such assignment shall relieve Parent or Merger Sub of any of its obligations hereunder. Except for (i) the provisions of </w:t>
      </w:r>
      <w:r>
        <w:rPr>
          <w:rFonts w:ascii="Times New Roman;Times;serif" w:hAnsi="Times New Roman;Times;serif"/>
          <w:color w:val="000000"/>
          <w:sz w:val="18"/>
          <w:u w:val="single"/>
        </w:rPr>
        <w:t>ARTICLE I</w:t>
      </w:r>
      <w:r>
        <w:rPr>
          <w:rFonts w:ascii="Times New Roman;Times;serif" w:hAnsi="Times New Roman;Times;serif"/>
          <w:color w:val="000000"/>
          <w:sz w:val="18"/>
        </w:rPr>
        <w:t xml:space="preserve"> (which, from and after the Effective Time, shall be for the benefit of Persons who are holders of shares of Company Common Stock immediately prior to the Effective Time and holders of Company RSUs, Company PSUs and Company MSUs), (ii) </w:t>
      </w:r>
      <w:r>
        <w:rPr>
          <w:rFonts w:ascii="Times New Roman;Times;serif" w:hAnsi="Times New Roman;Times;serif"/>
          <w:color w:val="000000"/>
          <w:sz w:val="18"/>
          <w:u w:val="single"/>
        </w:rPr>
        <w:t>Section 4.10</w:t>
      </w:r>
      <w:r>
        <w:rPr>
          <w:rFonts w:ascii="Times New Roman;Times;serif" w:hAnsi="Times New Roman;Times;serif"/>
          <w:color w:val="000000"/>
          <w:sz w:val="18"/>
        </w:rPr>
        <w:t xml:space="preserve"> (which, from and after the Effective Time shall be for the benefit of the Indemnified Parties and the other Persons identified therein), (iii) </w:t>
      </w:r>
      <w:r>
        <w:rPr>
          <w:rFonts w:ascii="Times New Roman;Times;serif" w:hAnsi="Times New Roman;Times;serif"/>
          <w:color w:val="000000"/>
          <w:sz w:val="18"/>
          <w:u w:val="single"/>
        </w:rPr>
        <w:t>Section 7.4(d)</w:t>
      </w:r>
      <w:r>
        <w:rPr>
          <w:rFonts w:ascii="Times New Roman;Times;serif" w:hAnsi="Times New Roman;Times;serif"/>
          <w:color w:val="000000"/>
          <w:sz w:val="18"/>
        </w:rPr>
        <w:t xml:space="preserve"> (which, prior to the Effective Time, shall be for the benefit of Persons who are holders of shares of Company Common Stock immediately prior to the Effective Time and holders of Company RSUs, Company PSUs and Company MSUs to the extent provided therein), (iv) </w:t>
      </w:r>
      <w:r>
        <w:rPr>
          <w:rFonts w:ascii="Times New Roman;Times;serif" w:hAnsi="Times New Roman;Times;serif"/>
          <w:color w:val="000000"/>
          <w:sz w:val="18"/>
          <w:u w:val="single"/>
        </w:rPr>
        <w:t>Section 4.9(c)</w:t>
      </w:r>
      <w:r>
        <w:rPr>
          <w:rFonts w:ascii="Times New Roman;Times;serif" w:hAnsi="Times New Roman;Times;serif"/>
          <w:color w:val="000000"/>
          <w:sz w:val="18"/>
        </w:rPr>
        <w:t xml:space="preserve"> (which shall be for the benefit of the Continuing Employees who are parties to Change of Control Agreements, and their respective heirs, executors, administrators, legal representatives, successors and assigns, to the extent provided therein), (v) Section 4.17(f) (which shall be for the benefit of the Company, the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39" w:name="ny20081083x2_defm14a_300-annexa_pg51"/>
        <w:bookmarkEnd w:id="33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Company Subsidiaries and its and their respective affiliates and Representatives as provided therein) and (vi)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(which shall be for the benefit of the Financing Sources as provided therein), nothing in this Agreement (including </w:t>
      </w:r>
      <w:r>
        <w:rPr>
          <w:rFonts w:ascii="Times New Roman;Times;serif" w:hAnsi="Times New Roman;Times;serif"/>
          <w:color w:val="000000"/>
          <w:sz w:val="18"/>
          <w:u w:val="single"/>
        </w:rPr>
        <w:t>Section 4.9</w:t>
      </w:r>
      <w:r>
        <w:rPr>
          <w:rFonts w:ascii="Times New Roman;Times;serif" w:hAnsi="Times New Roman;Times;serif"/>
          <w:color w:val="000000"/>
          <w:sz w:val="18"/>
        </w:rPr>
        <w:t xml:space="preserve">), express or implied, is intended to or shall confer upon any Person, other than the parties hereto, any right, benefit or remedy of any nature. </w:t>
      </w:r>
    </w:p>
    <w:p>
      <w:pPr>
        <w:pStyle w:val="TextBody"/>
        <w:bidi w:val="0"/>
        <w:spacing w:before="120" w:after="283"/>
        <w:ind w:left="0" w:right="0" w:firstLine="400"/>
        <w:jc w:val="both"/>
        <w:rPr>
          <w:rFonts w:ascii="Times New Roman;Times;serif" w:hAnsi="Times New Roman;Times;serif"/>
          <w:color w:val="000000"/>
          <w:sz w:val="18"/>
        </w:rPr>
      </w:pPr>
      <w:bookmarkStart w:id="340" w:name="tANNX78"/>
      <w:bookmarkEnd w:id="340"/>
      <w:r>
        <w:rPr>
          <w:rFonts w:ascii="Times New Roman;Times;serif" w:hAnsi="Times New Roman;Times;serif"/>
          <w:color w:val="000000"/>
          <w:sz w:val="18"/>
        </w:rPr>
        <w:t>7.8 </w:t>
      </w:r>
      <w:r>
        <w:rPr>
          <w:rFonts w:ascii="Times New Roman;Times;serif" w:hAnsi="Times New Roman;Times;serif"/>
          <w:color w:val="000000"/>
          <w:sz w:val="18"/>
          <w:u w:val="single"/>
        </w:rPr>
        <w:t>Notices</w:t>
      </w:r>
      <w:r>
        <w:rPr>
          <w:rFonts w:ascii="Times New Roman;Times;serif" w:hAnsi="Times New Roman;Times;serif"/>
          <w:color w:val="000000"/>
          <w:sz w:val="18"/>
        </w:rPr>
        <w:t>. Any notice or other communication required or permitted to be delivered to any party under this Agreement shall be in writing and shall be deemed properly given and made as follows: (a) if sent by registered or certified mail in the United States, return receipt requested, then such communication shall be deemed duly given and made upon receipt; (b) if sent by nationally recognized overnight air courier (such as DHL or Federal Express), then such communication shall be deemed duly given and made two (2) Business Days after being sent; and (c) if sent by electronic mail, when transmitted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no “bounce back” or similar message of non-delivery is received with respect thereto (but excluding any “out of office” or similar automatic response)),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such notices, requests, demands and other communications are delivered to the address set forth below, or to such other address as any party shall provide by like notice to the other parties to this Agreement: </w:t>
      </w:r>
    </w:p>
    <w:tbl>
      <w:tblPr>
        <w:tblW w:w="6410" w:type="dxa"/>
        <w:jc w:val="left"/>
        <w:tblInd w:w="0" w:type="dxa"/>
        <w:tblLayout w:type="fixed"/>
        <w:tblCellMar>
          <w:top w:w="0" w:type="dxa"/>
          <w:left w:w="0" w:type="dxa"/>
          <w:bottom w:w="0" w:type="dxa"/>
          <w:right w:w="0" w:type="dxa"/>
        </w:tblCellMar>
      </w:tblPr>
      <w:tblGrid>
        <w:gridCol w:w="155"/>
        <w:gridCol w:w="140"/>
        <w:gridCol w:w="140"/>
        <w:gridCol w:w="1310"/>
        <w:gridCol w:w="140"/>
        <w:gridCol w:w="140"/>
        <w:gridCol w:w="438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Parent or Merger Sub: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ON Semiconductor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5701 N. Pima Road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Scottsdale, Arizona 85250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Chief Legal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As set forth in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of the Parent Disclosure Schedule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Skadden, Arps, Slate, Meagher &amp; Flom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525 University Avenue, Suite 1400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Palo Alto, CA 94301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 J. Mies; Christopher P. Hammond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michael.mies@skadden.com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christopher.hammond@skadden.com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if to the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Synaptics Incorporated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1109 McKay Drive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San Jose, CA 95131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Attention:   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General Counsel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As set forth in </w:t>
            </w:r>
            <w:r>
              <w:rPr>
                <w:rFonts w:ascii="Times New Roman;Times;serif" w:hAnsi="Times New Roman;Times;serif"/>
                <w:color w:val="000000"/>
                <w:sz w:val="18"/>
                <w:u w:val="single"/>
              </w:rPr>
              <w:t>Section 7.8</w:t>
            </w:r>
            <w:r>
              <w:rPr>
                <w:rFonts w:ascii="Times New Roman;Times;serif" w:hAnsi="Times New Roman;Times;serif"/>
                <w:color w:val="000000"/>
                <w:sz w:val="18"/>
              </w:rPr>
              <w:t xml:space="preserve"> of the Company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Disclosure Schedule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with copies (which shall not constitute notice) to: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Baker &amp; McKenzie LLP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600 Hansen Way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975" w:type="dxa"/>
            <w:gridSpan w:val="4"/>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Palo Alto, CA 94304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Attention: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Leif King; Derek Liu; Aarthi Belani; Piotr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Korzynski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Email:</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leif.king@bakermckenzie.com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derek.liu@bakermckenzie.com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aarthi.belani@bakermckenzie.com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piotr.korzynski@bakermckenzie.com</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31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385" w:type="dxa"/>
            <w:tcBorders/>
            <w:vAlign w:val="center"/>
          </w:tcPr>
          <w:p>
            <w:pPr>
              <w:pStyle w:val="TableContents"/>
              <w:bidi w:val="0"/>
              <w:spacing w:before="0" w:after="0"/>
              <w:jc w:val="left"/>
              <w:rPr/>
            </w:pPr>
            <w:r>
              <w:rPr/>
              <w:t> </w:t>
            </w:r>
          </w:p>
        </w:tc>
      </w:tr>
    </w:tbl>
    <w:p>
      <w:pPr>
        <w:pStyle w:val="TextBody"/>
        <w:bidi w:val="0"/>
        <w:spacing w:before="120" w:after="283"/>
        <w:ind w:left="0" w:right="0" w:firstLine="400"/>
        <w:jc w:val="both"/>
        <w:rPr>
          <w:rFonts w:ascii="Times New Roman;Times;serif" w:hAnsi="Times New Roman;Times;serif"/>
          <w:color w:val="000000"/>
          <w:sz w:val="18"/>
        </w:rPr>
      </w:pPr>
      <w:bookmarkStart w:id="341" w:name="tANNX79"/>
      <w:bookmarkEnd w:id="341"/>
      <w:r>
        <w:rPr>
          <w:rFonts w:ascii="Times New Roman;Times;serif" w:hAnsi="Times New Roman;Times;serif"/>
          <w:color w:val="000000"/>
          <w:sz w:val="18"/>
        </w:rPr>
        <w:t>7.9 </w:t>
      </w:r>
      <w:r>
        <w:rPr>
          <w:rFonts w:ascii="Times New Roman;Times;serif" w:hAnsi="Times New Roman;Times;serif"/>
          <w:color w:val="000000"/>
          <w:sz w:val="18"/>
          <w:u w:val="single"/>
        </w:rPr>
        <w:t>Severability</w:t>
      </w:r>
      <w:r>
        <w:rPr>
          <w:rFonts w:ascii="Times New Roman;Times;serif" w:hAnsi="Times New Roman;Times;serif"/>
          <w:color w:val="000000"/>
          <w:sz w:val="18"/>
        </w:rPr>
        <w:t xml:space="preserve">. Any term or provision of this Agreement that is invalid or unenforceable in any situation in any jurisdiction shall not affect the validity or enforceability of the remaining terms and provisions hereof or the validity or enforceability of the offending term or provision in any other situation or in any other jurisdiction. If the final judgment of a court of competent jurisdiction declares that any term or provision hereof is invalid or unenforceable, the parties hereto agree that the court making such determination shall have the power to limit the term or provision, to delete specific words or phrases or to replace any invalid or unenforceable term or provision with a term or provision that is valid and enforceable and that comes closest to expressing the intention of the invalid or unenforceable term or provision, and this Agreement shall be enforceable as so modified. In the event such court does not exercise the power granted to it in the prior sentence, the parties hereto agree to replace such invalid or unenforceable term or provision with a valid and enforceable term or provision that will achieve, to the extent possible, the economic, business and other purposes of such invalid or unenforceable term.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2" w:name="ny20081083x2_defm14a_300-annexa_pg52"/>
        <w:bookmarkEnd w:id="342"/>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rFonts w:ascii="Times New Roman;Times;serif" w:hAnsi="Times New Roman;Times;serif"/>
          <w:color w:val="000000"/>
          <w:sz w:val="18"/>
        </w:rPr>
      </w:pPr>
      <w:bookmarkStart w:id="343" w:name="tANNX710"/>
      <w:bookmarkEnd w:id="343"/>
      <w:r>
        <w:rPr>
          <w:rFonts w:ascii="Times New Roman;Times;serif" w:hAnsi="Times New Roman;Times;serif"/>
          <w:color w:val="000000"/>
          <w:sz w:val="18"/>
        </w:rPr>
        <w:t>7.10 </w:t>
      </w:r>
      <w:r>
        <w:rPr>
          <w:rFonts w:ascii="Times New Roman;Times;serif" w:hAnsi="Times New Roman;Times;serif"/>
          <w:color w:val="000000"/>
          <w:sz w:val="18"/>
          <w:u w:val="single"/>
        </w:rPr>
        <w:t>Counterparts</w:t>
      </w:r>
      <w:r>
        <w:rPr>
          <w:rFonts w:ascii="Times New Roman;Times;serif" w:hAnsi="Times New Roman;Times;serif"/>
          <w:color w:val="000000"/>
          <w:sz w:val="18"/>
        </w:rPr>
        <w:t xml:space="preserve">. This Agreement may be executed and delivered (including by facsimile or other form of electronic transmission) in one or more counterparts, and by the different parties hereto in separate counterparts, each of which when executed shall be deemed to be an original but all of which taken together shall constitute one and the same agreement. The exchange of a fully executed Agreement (in counterparts or otherwise) by facsimile or other electronic delivery shall be sufficient to bind the parties to the terms and conditions of this Agreement. </w:t>
      </w:r>
    </w:p>
    <w:p>
      <w:pPr>
        <w:pStyle w:val="TextBody"/>
        <w:bidi w:val="0"/>
        <w:spacing w:before="120" w:after="283"/>
        <w:ind w:left="0" w:right="0" w:firstLine="400"/>
        <w:jc w:val="both"/>
        <w:rPr>
          <w:rFonts w:ascii="Times New Roman;Times;serif" w:hAnsi="Times New Roman;Times;serif"/>
          <w:color w:val="000000"/>
          <w:sz w:val="18"/>
        </w:rPr>
      </w:pPr>
      <w:bookmarkStart w:id="344" w:name="tANNX711"/>
      <w:bookmarkEnd w:id="344"/>
      <w:r>
        <w:rPr>
          <w:rFonts w:ascii="Times New Roman;Times;serif" w:hAnsi="Times New Roman;Times;serif"/>
          <w:color w:val="000000"/>
          <w:sz w:val="18"/>
        </w:rPr>
        <w:t>7.11 </w:t>
      </w:r>
      <w:r>
        <w:rPr>
          <w:rFonts w:ascii="Times New Roman;Times;serif" w:hAnsi="Times New Roman;Times;serif"/>
          <w:color w:val="000000"/>
          <w:sz w:val="18"/>
          <w:u w:val="single"/>
        </w:rPr>
        <w:t>Specific Performance</w:t>
      </w:r>
      <w:r>
        <w:rPr>
          <w:rFonts w:ascii="Times New Roman;Times;serif" w:hAnsi="Times New Roman;Times;serif"/>
          <w:color w:val="000000"/>
          <w:sz w:val="18"/>
        </w:rPr>
        <w:t xml:space="preserve">. Each of the parties hereto agrees that irreparable damage would occur in the event that any of the provisions of this Agreement were not performed in accordance with their specific terms or were otherwise breached, and that monetary damages, even if available, would not be an adequate remedy therefor. It is accordingly agreed that, in addition to any other remedy that a party hereto may have under law or in equity, in the event of any breach or threatened breach by Parent, Merger Sub or the Company of any covenant or obligation of such party contained in this Agreement, the other parties shall be entitled to obtain (a) an Order of specific performance to enforce the observance and performance of such covenant; and (b) an injunction restraining such breach or threatened breach. In the event that any action is brought in equity to enforce the provisions of this Agreement, no party hereto shall allege, and each party hereto hereby waives the defense or counterclaim, that there is an adequate remedy at law. Each party hereto further agrees that no other party hereto or any other Person shall be required to obtain, furnish or post any bond or similar instrument in connection with or as a condition to obtaining any remedy referred to in this </w:t>
      </w:r>
      <w:r>
        <w:rPr>
          <w:rFonts w:ascii="Times New Roman;Times;serif" w:hAnsi="Times New Roman;Times;serif"/>
          <w:color w:val="000000"/>
          <w:sz w:val="18"/>
          <w:u w:val="single"/>
        </w:rPr>
        <w:t>Section 7.11</w:t>
      </w:r>
      <w:r>
        <w:rPr>
          <w:rFonts w:ascii="Times New Roman;Times;serif" w:hAnsi="Times New Roman;Times;serif"/>
          <w:color w:val="000000"/>
          <w:sz w:val="18"/>
        </w:rPr>
        <w:t xml:space="preserve">, and each party hereto irrevocably waives any right it may have to require the obtaining, furnishing or posting of any such bond or similar instrument. </w:t>
      </w:r>
    </w:p>
    <w:p>
      <w:pPr>
        <w:pStyle w:val="TextBody"/>
        <w:bidi w:val="0"/>
        <w:spacing w:before="160" w:after="283"/>
        <w:ind w:left="0" w:right="0" w:firstLine="400"/>
        <w:jc w:val="left"/>
        <w:rPr>
          <w:rFonts w:ascii="Times New Roman;Times;serif" w:hAnsi="Times New Roman;Times;serif"/>
          <w:color w:val="000000"/>
          <w:sz w:val="18"/>
        </w:rPr>
      </w:pPr>
      <w:bookmarkStart w:id="345" w:name="tANNX712"/>
      <w:bookmarkEnd w:id="345"/>
      <w:r>
        <w:rPr>
          <w:rFonts w:ascii="Times New Roman;Times;serif" w:hAnsi="Times New Roman;Times;serif"/>
          <w:color w:val="000000"/>
          <w:sz w:val="18"/>
        </w:rPr>
        <w:t>7.12 </w:t>
      </w:r>
      <w:r>
        <w:rPr>
          <w:rFonts w:ascii="Times New Roman;Times;serif" w:hAnsi="Times New Roman;Times;serif"/>
          <w:color w:val="000000"/>
          <w:sz w:val="18"/>
          <w:u w:val="single"/>
        </w:rPr>
        <w:t>Disclosure Schedules</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(a) The Company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Company Disclosure Schedule shall be construed, in and of itself, as an admission or indication that such item or other matter is material or that such item or other matter is required to be referred to or disclosed in the Company Disclosure Schedule. The information set forth in the Company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Parent Disclosure Schedule has been arranged, for purposes of convenience only, in separate sections and subsections corresponding to the Sections and subsections of </w:t>
      </w:r>
      <w:r>
        <w:rPr>
          <w:rFonts w:ascii="Times New Roman;Times;serif" w:hAnsi="Times New Roman;Times;serif"/>
          <w:color w:val="000000"/>
          <w:sz w:val="18"/>
          <w:u w:val="single"/>
        </w:rPr>
        <w:t>ARTICLE III</w:t>
      </w:r>
      <w:r>
        <w:rPr>
          <w:rFonts w:ascii="Times New Roman;Times;serif" w:hAnsi="Times New Roman;Times;serif"/>
          <w:color w:val="000000"/>
          <w:sz w:val="18"/>
        </w:rPr>
        <w:t xml:space="preserve"> and, as applicable, </w:t>
      </w:r>
      <w:r>
        <w:rPr>
          <w:rFonts w:ascii="Times New Roman;Times;serif" w:hAnsi="Times New Roman;Times;serif"/>
          <w:color w:val="000000"/>
          <w:sz w:val="18"/>
          <w:u w:val="single"/>
        </w:rPr>
        <w:t>ARTICLE IV</w:t>
      </w:r>
      <w:r>
        <w:rPr>
          <w:rFonts w:ascii="Times New Roman;Times;serif" w:hAnsi="Times New Roman;Times;serif"/>
          <w:color w:val="000000"/>
          <w:sz w:val="18"/>
        </w:rPr>
        <w:t xml:space="preserve"> (each section of which qualifies the correspondingly numbered representation and warranty or covenant to the extent specified therein; </w:t>
      </w:r>
      <w:r>
        <w:rPr>
          <w:rFonts w:ascii="Times New Roman;Times;serif" w:hAnsi="Times New Roman;Times;serif"/>
          <w:i/>
          <w:color w:val="000000"/>
          <w:sz w:val="18"/>
        </w:rPr>
        <w:t>provided</w:t>
      </w:r>
      <w:r>
        <w:rPr>
          <w:rFonts w:ascii="Times New Roman;Times;serif" w:hAnsi="Times New Roman;Times;serif"/>
          <w:color w:val="000000"/>
          <w:sz w:val="18"/>
        </w:rPr>
        <w:t xml:space="preserve"> that any disclosure set forth with respect to any particular section shall be deemed to be disclosed in reference to all other applicable sections of this Agreement if the relevance of such disclosure to the other section is reasonably apparent on its face). No reference to or disclosure of any item or other matter in the Parent Disclosure Schedule shall be construed, in and of itself, as an admission or indication that such item or other matter is material or that such item or other matter is required to be referred to or disclosed in the Parent Disclosure Schedule. The information set forth in the Parent Disclosure Schedule is disclosed solely for purposes of this Agreement, and no information set forth therein shall be deemed, in and of itself, to be an admission by any party hereto to any third party of any matter whatsoever, including any violation of Legal Requirement or breach of any Contract. </w:t>
      </w:r>
    </w:p>
    <w:p>
      <w:pPr>
        <w:pStyle w:val="TextBody"/>
        <w:bidi w:val="0"/>
        <w:spacing w:before="120" w:after="283"/>
        <w:ind w:left="0" w:right="0" w:firstLine="400"/>
        <w:jc w:val="both"/>
        <w:rPr>
          <w:rFonts w:ascii="Times New Roman;Times;serif" w:hAnsi="Times New Roman;Times;serif"/>
          <w:color w:val="000000"/>
          <w:sz w:val="18"/>
        </w:rPr>
      </w:pPr>
      <w:bookmarkStart w:id="346" w:name="tANNX713"/>
      <w:bookmarkEnd w:id="346"/>
      <w:r>
        <w:rPr>
          <w:rFonts w:ascii="Times New Roman;Times;serif" w:hAnsi="Times New Roman;Times;serif"/>
          <w:color w:val="000000"/>
          <w:sz w:val="18"/>
        </w:rPr>
        <w:t>7.13 </w:t>
      </w:r>
      <w:r>
        <w:rPr>
          <w:rFonts w:ascii="Times New Roman;Times;serif" w:hAnsi="Times New Roman;Times;serif"/>
          <w:color w:val="000000"/>
          <w:sz w:val="18"/>
          <w:u w:val="single"/>
        </w:rPr>
        <w:t>Certain Financing Provisions</w:t>
      </w:r>
      <w:r>
        <w:rPr>
          <w:rFonts w:ascii="Times New Roman;Times;serif" w:hAnsi="Times New Roman;Times;serif"/>
          <w:color w:val="000000"/>
          <w:sz w:val="18"/>
        </w:rPr>
        <w:t>. Notwithstanding anything in this Agreement to the contrary, each of the parties hereto, on behalf of itself, its Subsidiaries and each of its controlled affiliates, hereby: (a) agrees that any Legal Proceedings, whether in law or in equity, whether in contract or in tort or otherwise, involving the Financing Related Parties, arising out of or relating to this Agreement, the Financing or any of the agreements (including any applicable commitment letter) entered into in connection with the Financing or any of the transactions contemplated hereby or thereby or the performance of any services thereunder (any such Legal Proceeding, a “Financing Related Proceeding“) shall be subject to the exclusive jurisdiction of any Federal court sitting in the Borough of Manhattan, New York, New York, so long as such forum is and remains available, and if such court does not have subject matter jurisdiction, in any State court located in the Borough of Manhattan, New York, New York, and in each case, any appellate court thereof and each party hereto irrevocably submits itself and its property with respect to any Financing Related Proceedings to the exclusive jurisdiction of such court; (b) agrees that any Financing Related Proceeding shall be governed by the laws of the State of New York (without giving effect to any conflicts of law principles that would result in the application of the laws of another state), except as otherwise provided in any applicable commitment letter or other applicable definitive document relating to the Financing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however</w:t>
      </w:r>
      <w:r>
        <w:rPr>
          <w:rFonts w:ascii="Times New Roman;Times;serif" w:hAnsi="Times New Roman;Times;serif"/>
          <w:color w:val="000000"/>
          <w:sz w:val="18"/>
        </w:rPr>
        <w:t xml:space="preserve">, that notwithstanding the foregoing, it is understood and agreed that (i) the interpretation of the definitions of “Effect”, “Company Material Adverse Effect” and “Parent Material Adverse Effect” (and whether or not a “Company Material Adverse Effect” or “Parent Material Adverse Effect” has occurred), (ii) the determination of the accuracy of any “Merger Agreement Representations“ (as such term or similar term is or may be defined in the Debt Commitment Letter or any Definitive Financing Document) and whether as a result of any inaccuracy thereof Parent, Merger Sub, or any of their respective affiliates have the right to terminate its or their obligations hereunder or decline to consummate the Closing as a result thereof and (iii) the determination of whether the Merger or the Closing has been consummated pursuant to and/or in all material respects in accordance with the terms hereof, shall in each case be governed by and construed in accordance with the laws of the State of Delaware applicable to agreements made and to be performed solely therein (including the procedural laws and the laws relating to the statute of limitations), without giving effect to any law or principle the application of which would result in the law of another jurisdiction governing); (c) agrees not to bring or support or permit any of its controlled affiliates to bring or support any Financing Related Proceeding in any forum other than any Federal court sitting in the Borough of Manhattan, New York, New York, so long as such forum is and remains available, and if such court does not have subject matter jurisdiction, in any State court located in the Borough of Manhattan, New York, New York; (d) agrees that service of process upon the Company and the Company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A-49</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7" w:name="ny20081083x2_defm14a_300-annexa_pg53"/>
        <w:bookmarkEnd w:id="34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Subsidiaries by any Financing Related Party in any such Financing Related Proceedings shall be effective if notice is given in accordance with the notice provisions of </w:t>
      </w:r>
      <w:r>
        <w:rPr>
          <w:rFonts w:ascii="Times New Roman;Times;serif" w:hAnsi="Times New Roman;Times;serif"/>
          <w:color w:val="000000"/>
          <w:sz w:val="18"/>
          <w:u w:val="single"/>
        </w:rPr>
        <w:t>Section 7.8(a)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(b)</w:t>
      </w:r>
      <w:r>
        <w:rPr>
          <w:rFonts w:ascii="Times New Roman;Times;serif" w:hAnsi="Times New Roman;Times;serif"/>
          <w:color w:val="000000"/>
          <w:sz w:val="18"/>
        </w:rPr>
        <w:t xml:space="preserve">; (e) irrevocably waives, to the fullest extent that it may effectively do so, the defense of an inconvenient forum to the maintenance of any Financing Related Proceedings in any such court; (f) knowingly, intentionally and voluntarily waives to the fullest extent permitted by applicable law trial by jury in any Financing Related Proceedings brought against the Financing Related Parties; (g) agrees that neither the Company nor any of the Company Subsidiaries nor any of their respective affiliates or Representatives (in each case, other than Parent, Merger Sub and their respective Subsidiaries) shall have any rights or claims (and the Company, on behalf of itself, the Company Subsidiaries, their respective affiliates and Representatives hereby waives any such rights or claims) against any Financing Related Party relating to or arising out of this Agreement, the Financing, any commitment letter relating thereto or any of the transactions contemplated hereby or thereby or the performance of any services thereunder, whether in law or in equity, whether in contract or in tort or otherwise; (h) agrees that none of the Financing Related Parties will have any obligation or liability, on any theory of liability, to the Company or any of the Company Subsidiaries or any of their respective affiliates or Representatives (in each case, other than Parent, Merger Sub and their respective Subsidiaries) relating to or arising out of this Agreement, the Financing, any commitment letter relating thereto or any of the transactions contemplated hereby or thereby or the performance of any services thereunder, whether in law or in equity, whether in contract or in tort or otherwise; and (i) agrees that (A) the Financing Related Parties are express third party beneficiaries of, and may enforce, any of the provisions of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but, in the case of </w:t>
      </w:r>
      <w:r>
        <w:rPr>
          <w:rFonts w:ascii="Times New Roman;Times;serif" w:hAnsi="Times New Roman;Times;serif"/>
          <w:color w:val="000000"/>
          <w:sz w:val="18"/>
          <w:u w:val="single"/>
        </w:rPr>
        <w:t>clauses (g)</w:t>
      </w:r>
      <w:r>
        <w:rPr>
          <w:rFonts w:ascii="Times New Roman;Times;serif" w:hAnsi="Times New Roman;Times;serif"/>
          <w:color w:val="000000"/>
          <w:sz w:val="18"/>
        </w:rPr>
        <w:t xml:space="preserve"> and </w:t>
      </w:r>
      <w:r>
        <w:rPr>
          <w:rFonts w:ascii="Times New Roman;Times;serif" w:hAnsi="Times New Roman;Times;serif"/>
          <w:color w:val="000000"/>
          <w:sz w:val="18"/>
          <w:u w:val="single"/>
        </w:rPr>
        <w:t>(h)</w:t>
      </w:r>
      <w:r>
        <w:rPr>
          <w:rFonts w:ascii="Times New Roman;Times;serif" w:hAnsi="Times New Roman;Times;serif"/>
          <w:color w:val="000000"/>
          <w:sz w:val="18"/>
        </w:rPr>
        <w:t xml:space="preserve">, solely to the extent of actions or omissions by or circumstances relating to such Financing Related Party in its capacity as a Financing Source or other Financing Related Party, it being understood that nothing in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shall excuse any Financing Related Party from liability in connection with actions or omissions by or circumstances relating to such Financing Related Party in any other capacity (including in its capacity as an existing creditor of the Company or any Company Subsidiary), and (B) such provisions and the definitions used in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(as used in such section) shall not be amended, waived or otherwise modified, in each case, in any way adverse to the Financing Related Parties without the prior written consent of the Financing Sources (and such amendment, waiver or modification without such prior consent shall be null and void). The provisions of this </w:t>
      </w:r>
      <w:r>
        <w:rPr>
          <w:rFonts w:ascii="Times New Roman;Times;serif" w:hAnsi="Times New Roman;Times;serif"/>
          <w:color w:val="000000"/>
          <w:sz w:val="18"/>
          <w:u w:val="single"/>
        </w:rPr>
        <w:t>Section 7.13</w:t>
      </w:r>
      <w:r>
        <w:rPr>
          <w:rFonts w:ascii="Times New Roman;Times;serif" w:hAnsi="Times New Roman;Times;serif"/>
          <w:color w:val="000000"/>
          <w:sz w:val="18"/>
        </w:rPr>
        <w:t xml:space="preserve"> shall survive any termination of this Agreement. </w:t>
      </w:r>
    </w:p>
    <w:p>
      <w:pPr>
        <w:pStyle w:val="TextBody"/>
        <w:bidi w:val="0"/>
        <w:spacing w:before="170" w:after="283"/>
        <w:ind w:left="0" w:right="0" w:firstLine="400"/>
        <w:jc w:val="left"/>
        <w:rPr>
          <w:rFonts w:ascii="Times New Roman;Times;serif" w:hAnsi="Times New Roman;Times;serif"/>
          <w:color w:val="000000"/>
          <w:sz w:val="18"/>
        </w:rPr>
      </w:pPr>
      <w:bookmarkStart w:id="348" w:name="tANNX714"/>
      <w:bookmarkEnd w:id="348"/>
      <w:r>
        <w:rPr>
          <w:rFonts w:ascii="Times New Roman;Times;serif" w:hAnsi="Times New Roman;Times;serif"/>
          <w:color w:val="000000"/>
          <w:sz w:val="18"/>
        </w:rPr>
        <w:t>7.14 </w:t>
      </w:r>
      <w:r>
        <w:rPr>
          <w:rFonts w:ascii="Times New Roman;Times;serif" w:hAnsi="Times New Roman;Times;serif"/>
          <w:color w:val="000000"/>
          <w:sz w:val="18"/>
          <w:u w:val="single"/>
        </w:rPr>
        <w:t>Construction</w:t>
      </w:r>
      <w:r>
        <w:rPr>
          <w:rFonts w:ascii="Times New Roman;Times;serif" w:hAnsi="Times New Roman;Times;serif"/>
          <w:color w:val="000000"/>
          <w:sz w:val="18"/>
        </w:rPr>
        <w:t xml:space="preserve">.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(a) For purposes of this Agreement, whenever the context requires: the singular number shall include the plural, and vice versa; the masculine gender shall include the feminine and neuter genders; the feminine gender shall include the masculine and neuter genders; and the neuter gender shall include masculine and feminine genders. If a term is defined as one part of speech, it shall have a corresponding meaning when used as another part of speech.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(b) The parties hereto agree that any rule of construction to the effect that ambiguities are to be resolved against the drafting party shall not be applied in the construction or interpretation of this Agreement.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(c) As used in this Agreement, the words “include” and “including,” and variations thereof, shall not be deemed to be terms of limitation, but rather shall be deemed to be followed by the words “without limitation,” and the words “hereof,” “hereby,” “herein,” “hereunder” and similar terms in this Agreement shall refer to this Agreement as a whole and not any particular section or article in which such words appear.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(d) For purposes of this Agreement, any reference to a Legal Requirement shall include any rules and regulations promulgated thereunder.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(e) Except as otherwise indicated, all references in this Agreement to “</w:t>
      </w:r>
      <w:r>
        <w:rPr>
          <w:rFonts w:ascii="Times New Roman;Times;serif" w:hAnsi="Times New Roman;Times;serif"/>
          <w:color w:val="000000"/>
          <w:sz w:val="18"/>
          <w:u w:val="single"/>
        </w:rPr>
        <w:t>Sections</w:t>
      </w:r>
      <w:r>
        <w:rPr>
          <w:rFonts w:ascii="Times New Roman;Times;serif" w:hAnsi="Times New Roman;Times;serif"/>
          <w:color w:val="000000"/>
          <w:sz w:val="18"/>
        </w:rPr>
        <w:t>,” “</w:t>
      </w:r>
      <w:r>
        <w:rPr>
          <w:rFonts w:ascii="Times New Roman;Times;serif" w:hAnsi="Times New Roman;Times;serif"/>
          <w:color w:val="000000"/>
          <w:sz w:val="18"/>
          <w:u w:val="single"/>
        </w:rPr>
        <w:t>Exhibits</w:t>
      </w:r>
      <w:r>
        <w:rPr>
          <w:rFonts w:ascii="Times New Roman;Times;serif" w:hAnsi="Times New Roman;Times;serif"/>
          <w:color w:val="000000"/>
          <w:sz w:val="18"/>
        </w:rPr>
        <w:t>,” “</w:t>
      </w:r>
      <w:r>
        <w:rPr>
          <w:rFonts w:ascii="Times New Roman;Times;serif" w:hAnsi="Times New Roman;Times;serif"/>
          <w:color w:val="000000"/>
          <w:sz w:val="18"/>
          <w:u w:val="single"/>
        </w:rPr>
        <w:t>Annexes</w:t>
      </w:r>
      <w:r>
        <w:rPr>
          <w:rFonts w:ascii="Times New Roman;Times;serif" w:hAnsi="Times New Roman;Times;serif"/>
          <w:color w:val="000000"/>
          <w:sz w:val="18"/>
        </w:rPr>
        <w:t>” and “</w:t>
      </w:r>
      <w:r>
        <w:rPr>
          <w:rFonts w:ascii="Times New Roman;Times;serif" w:hAnsi="Times New Roman;Times;serif"/>
          <w:color w:val="000000"/>
          <w:sz w:val="18"/>
          <w:u w:val="single"/>
        </w:rPr>
        <w:t>Schedules</w:t>
      </w:r>
      <w:r>
        <w:rPr>
          <w:rFonts w:ascii="Times New Roman;Times;serif" w:hAnsi="Times New Roman;Times;serif"/>
          <w:color w:val="000000"/>
          <w:sz w:val="18"/>
        </w:rPr>
        <w:t xml:space="preserve">” are intended to refer to Sections of this Agreement and Exhibits, Annexes and Schedules to this Agreement. </w:t>
      </w:r>
    </w:p>
    <w:p>
      <w:pPr>
        <w:pStyle w:val="TextBody"/>
        <w:bidi w:val="0"/>
        <w:spacing w:before="170" w:after="283"/>
        <w:ind w:left="40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(f) All references in this Agreement to “$” are intended to refer to United States dollars.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(g) Any statement in the Agreement (including the Company Disclosure Schedule) to the effect that any information, document or other material has been “made available” or (unless context indicates otherwise) “provided” by the Company shall mean that such information, document or material was, at least twenty-four (24) hours prior to the date of this Agreement: (a) uploaded to the virtual data room maintained by the Company in connection with the transactions contemplated by the Agreement, (b) publicly filed with the SEC or (c) otherwise delivered, provided or made available (under reasonable conditions) to Parent or any of Parent’s Representatives (with receipt thereof confirmed by Parent or Parent’s Representatives). Any statement in the Agreement to the effect that any information, document or other material has been “made available” or (unless context indicates otherwise) “provided” by Parent shall mean that such information, document or material was, at least twenty-four (24) hours prior to the date of this Agreement: (i) uploaded to the virtual data room maintained by Parent in connection with the transactions contemplated by the Agreement, (ii) publicly filed with the SEC or (iii) otherwise delivered, provided or made available (under reasonable circumstances) to the Company or any of the Company’s Representatives (with receipt thereof confirmed by the Company or the Company’s Representatives). </w:t>
      </w:r>
    </w:p>
    <w:p>
      <w:pPr>
        <w:pStyle w:val="TextBody"/>
        <w:bidi w:val="0"/>
        <w:spacing w:before="120" w:after="283"/>
        <w:ind w:left="400" w:right="0" w:firstLine="400"/>
        <w:jc w:val="both"/>
        <w:rPr>
          <w:rFonts w:ascii="Times New Roman;Times;serif" w:hAnsi="Times New Roman;Times;serif"/>
          <w:color w:val="000000"/>
          <w:sz w:val="18"/>
        </w:rPr>
      </w:pPr>
      <w:r>
        <w:rPr>
          <w:rFonts w:ascii="Times New Roman;Times;serif" w:hAnsi="Times New Roman;Times;serif"/>
          <w:color w:val="000000"/>
          <w:sz w:val="18"/>
        </w:rPr>
        <w:t xml:space="preserve">(h) The table of contents and headings to this Agreement are for convenience of reference only, do not constitute part of this Agreement and shall not be deemed to limit or otherwise affect any of the provisions of this Agreement. The Exhibits, Schedules and Annexes attached to this Agreement constitute a part of this Agreement and are incorporated herein for all purposes. </w:t>
      </w:r>
    </w:p>
    <w:p>
      <w:pPr>
        <w:pStyle w:val="TextBody"/>
        <w:bidi w:val="0"/>
        <w:spacing w:before="170" w:after="283"/>
        <w:jc w:val="center"/>
        <w:rPr>
          <w:rFonts w:ascii="Times New Roman;Times;serif" w:hAnsi="Times New Roman;Times;serif"/>
          <w:color w:val="000000"/>
          <w:sz w:val="18"/>
        </w:rPr>
      </w:pPr>
      <w:r>
        <w:rPr>
          <w:rFonts w:ascii="Times New Roman;Times;serif" w:hAnsi="Times New Roman;Times;serif"/>
          <w:color w:val="000000"/>
          <w:sz w:val="18"/>
        </w:rPr>
        <w:t xml:space="preserve">[Remainder of page intentionally left blank]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A-50</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49" w:name="ny20081083x2_defm14a_300-annexa_pg54"/>
        <w:bookmarkEnd w:id="34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4310" w:type="dxa"/>
        <w:jc w:val="left"/>
        <w:tblInd w:w="0" w:type="dxa"/>
        <w:tblLayout w:type="fixed"/>
        <w:tblCellMar>
          <w:top w:w="0" w:type="dxa"/>
          <w:left w:w="0" w:type="dxa"/>
          <w:bottom w:w="0" w:type="dxa"/>
          <w:right w:w="0" w:type="dxa"/>
        </w:tblCellMar>
      </w:tblPr>
      <w:tblGrid>
        <w:gridCol w:w="155"/>
        <w:gridCol w:w="140"/>
        <w:gridCol w:w="140"/>
        <w:gridCol w:w="530"/>
        <w:gridCol w:w="140"/>
        <w:gridCol w:w="140"/>
        <w:gridCol w:w="3065"/>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ON SEMICONDUCTOR CORPORATION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Hassane El-Khoury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President and Chief Executive Officer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875"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SONIC ACQUISITION CORP.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Name: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Paul Dutton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Senior Vice President, Legal and Secretary</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3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3065"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[Signature Page to Amended and Restated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0" w:name="ny20081083x2_defm14a_300-annexa_pg55"/>
        <w:bookmarkEnd w:id="350"/>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IN WITNESS WHEREOF, the parties have caused this Agreement to be executed as of the date first above written. </w:t>
      </w:r>
    </w:p>
    <w:tbl>
      <w:tblPr>
        <w:tblW w:w="3109" w:type="dxa"/>
        <w:jc w:val="left"/>
        <w:tblInd w:w="0" w:type="dxa"/>
        <w:tblLayout w:type="fixed"/>
        <w:tblCellMar>
          <w:top w:w="0" w:type="dxa"/>
          <w:left w:w="0" w:type="dxa"/>
          <w:bottom w:w="0" w:type="dxa"/>
          <w:right w:w="0" w:type="dxa"/>
        </w:tblCellMar>
      </w:tblPr>
      <w:tblGrid>
        <w:gridCol w:w="155"/>
        <w:gridCol w:w="140"/>
        <w:gridCol w:w="140"/>
        <w:gridCol w:w="523"/>
        <w:gridCol w:w="151"/>
        <w:gridCol w:w="151"/>
        <w:gridCol w:w="1849"/>
      </w:tblGrid>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0"/>
              <w:jc w:val="left"/>
              <w:rPr/>
            </w:pPr>
            <w:r>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2674" w:type="dxa"/>
            <w:gridSpan w:val="4"/>
            <w:tcBorders/>
            <w:vAlign w:val="center"/>
          </w:tcPr>
          <w:p>
            <w:pPr>
              <w:pStyle w:val="TableContents"/>
              <w:bidi w:val="0"/>
              <w:spacing w:before="0" w:after="283"/>
              <w:ind w:left="0" w:right="0" w:hanging="0"/>
              <w:jc w:val="left"/>
              <w:rPr>
                <w:rFonts w:ascii="Times New Roman;Times;serif" w:hAnsi="Times New Roman;Times;serif"/>
                <w:b/>
                <w:color w:val="000000"/>
                <w:sz w:val="18"/>
              </w:rPr>
            </w:pPr>
            <w:r>
              <w:rPr>
                <w:rFonts w:ascii="Times New Roman;Times;serif" w:hAnsi="Times New Roman;Times;serif"/>
                <w:b/>
                <w:color w:val="000000"/>
                <w:sz w:val="18"/>
              </w:rPr>
              <w:t xml:space="preserve">SYNAPTICS INCORPORATED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color w:val="000000"/>
              </w:rPr>
            </w:pPr>
            <w:r>
              <w:rPr>
                <w:color w:val="000000"/>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0"/>
              <w:jc w:val="left"/>
              <w:rPr>
                <w:color w:val="000000"/>
              </w:rPr>
            </w:pPr>
            <w:r>
              <w:rPr>
                <w:color w:val="000000"/>
              </w:rPr>
              <w:t>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By:</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bottom w:val="single" w:sz="8" w:space="0" w:color="000000"/>
            </w:tcBorders>
            <w:tcMar>
              <w:bottom w:w="35" w:type="dxa"/>
            </w:tcMar>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/s/ 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Name: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 xml:space="preserve">Rahul Patel </w:t>
            </w:r>
          </w:p>
        </w:tc>
      </w:tr>
      <w:tr>
        <w:trPr/>
        <w:tc>
          <w:tcPr>
            <w:tcW w:w="155" w:type="dxa"/>
            <w:tcBorders/>
            <w:vAlign w:val="center"/>
          </w:tcPr>
          <w:p>
            <w:pPr>
              <w:pStyle w:val="TableContents"/>
              <w:bidi w:val="0"/>
              <w:spacing w:before="0" w:after="0"/>
              <w:jc w:val="left"/>
              <w:rPr>
                <w:color w:val="000000"/>
              </w:rPr>
            </w:pPr>
            <w:r>
              <w:rPr>
                <w:color w:val="000000"/>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Title:</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283"/>
              <w:ind w:left="0" w:right="0" w:hanging="0"/>
              <w:jc w:val="left"/>
              <w:rPr>
                <w:rFonts w:ascii="Times New Roman;Times;serif" w:hAnsi="Times New Roman;Times;serif"/>
                <w:color w:val="000000"/>
                <w:sz w:val="18"/>
              </w:rPr>
            </w:pPr>
            <w:r>
              <w:rPr>
                <w:rFonts w:ascii="Times New Roman;Times;serif" w:hAnsi="Times New Roman;Times;serif"/>
                <w:color w:val="000000"/>
                <w:sz w:val="18"/>
              </w:rPr>
              <w:t>Chief Executive Officer</w:t>
            </w:r>
          </w:p>
        </w:tc>
      </w:tr>
      <w:tr>
        <w:trPr/>
        <w:tc>
          <w:tcPr>
            <w:tcW w:w="155"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523"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51" w:type="dxa"/>
            <w:tcBorders/>
            <w:vAlign w:val="center"/>
          </w:tcPr>
          <w:p>
            <w:pPr>
              <w:pStyle w:val="TableContents"/>
              <w:bidi w:val="0"/>
              <w:spacing w:before="0" w:after="0"/>
              <w:jc w:val="left"/>
              <w:rPr/>
            </w:pPr>
            <w:r>
              <w:rPr/>
              <w:t> </w:t>
            </w:r>
          </w:p>
        </w:tc>
        <w:tc>
          <w:tcPr>
            <w:tcW w:w="1849" w:type="dxa"/>
            <w:tcBorders/>
            <w:vAlign w:val="center"/>
          </w:tcPr>
          <w:p>
            <w:pPr>
              <w:pStyle w:val="TableContents"/>
              <w:bidi w:val="0"/>
              <w:spacing w:before="0" w:after="0"/>
              <w:jc w:val="left"/>
              <w:rPr/>
            </w:pPr>
            <w:r>
              <w:rPr/>
              <w:t> </w:t>
            </w:r>
          </w:p>
        </w:tc>
      </w:tr>
    </w:tbl>
    <w:p>
      <w:pPr>
        <w:pStyle w:val="TextBody"/>
        <w:bidi w:val="0"/>
        <w:spacing w:before="215" w:after="283"/>
        <w:ind w:left="0" w:right="0" w:hanging="0"/>
        <w:jc w:val="center"/>
        <w:rPr>
          <w:rFonts w:ascii="Times New Roman;Times;serif" w:hAnsi="Times New Roman;Times;serif"/>
          <w:color w:val="000000"/>
          <w:sz w:val="18"/>
        </w:rPr>
      </w:pPr>
      <w:r>
        <w:rPr>
          <w:rFonts w:ascii="Times New Roman;Times;serif" w:hAnsi="Times New Roman;Times;serif"/>
          <w:color w:val="000000"/>
          <w:sz w:val="18"/>
        </w:rPr>
        <w:t>[Signature Page to Amended and Restated Agreement and Plan of Merger]</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A-52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1" w:name="ny20081083x2_defm14a_300a-annexa_pg1"/>
        <w:bookmarkEnd w:id="351"/>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center"/>
        <w:rPr>
          <w:rFonts w:ascii="Times New Roman;Times;serif" w:hAnsi="Times New Roman;Times;serif"/>
          <w:b/>
          <w:color w:val="000000"/>
          <w:sz w:val="18"/>
        </w:rPr>
      </w:pPr>
      <w:bookmarkStart w:id="352" w:name="tEXHIA"/>
      <w:bookmarkEnd w:id="352"/>
      <w:r>
        <w:rPr>
          <w:rFonts w:ascii="Times New Roman;Times;serif" w:hAnsi="Times New Roman;Times;serif"/>
          <w:b/>
          <w:color w:val="000000"/>
          <w:sz w:val="18"/>
        </w:rPr>
        <w:t xml:space="preserve">EXHIBIT A </w:t>
      </w:r>
    </w:p>
    <w:p>
      <w:pPr>
        <w:pStyle w:val="TextBody"/>
        <w:bidi w:val="0"/>
        <w:spacing w:before="0" w:after="283"/>
        <w:jc w:val="center"/>
        <w:rPr>
          <w:rFonts w:ascii="Times New Roman;Times;serif" w:hAnsi="Times New Roman;Times;serif"/>
          <w:b/>
          <w:color w:val="000000"/>
          <w:sz w:val="18"/>
        </w:rPr>
      </w:pPr>
      <w:r>
        <w:rPr>
          <w:rFonts w:ascii="Times New Roman;Times;serif" w:hAnsi="Times New Roman;Times;serif"/>
          <w:b/>
          <w:color w:val="000000"/>
          <w:sz w:val="18"/>
        </w:rPr>
        <w:t xml:space="preserve">Definitions </w:t>
      </w:r>
    </w:p>
    <w:p>
      <w:pPr>
        <w:pStyle w:val="TextBody"/>
        <w:bidi w:val="0"/>
        <w:spacing w:before="150" w:after="283"/>
        <w:ind w:left="0" w:right="0" w:firstLine="400"/>
        <w:jc w:val="left"/>
        <w:rPr>
          <w:rFonts w:ascii="Times New Roman;Times;serif" w:hAnsi="Times New Roman;Times;serif"/>
          <w:color w:val="000000"/>
          <w:sz w:val="18"/>
        </w:rPr>
      </w:pPr>
      <w:r>
        <w:rPr>
          <w:rFonts w:ascii="Times New Roman;Times;serif" w:hAnsi="Times New Roman;Times;serif"/>
          <w:color w:val="000000"/>
          <w:sz w:val="18"/>
        </w:rPr>
        <w:t xml:space="preserve">For purposes of the Agreement (including this </w:t>
      </w:r>
      <w:r>
        <w:rPr>
          <w:rFonts w:ascii="Times New Roman;Times;serif" w:hAnsi="Times New Roman;Times;serif"/>
          <w:color w:val="000000"/>
          <w:sz w:val="18"/>
          <w:u w:val="single"/>
        </w:rPr>
        <w:t>Exhibit A</w:t>
      </w:r>
      <w:r>
        <w:rPr>
          <w:rFonts w:ascii="Times New Roman;Times;serif" w:hAnsi="Times New Roman;Times;serif"/>
          <w:color w:val="000000"/>
          <w:sz w:val="18"/>
        </w:rPr>
        <w:t xml:space="preserv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Affiliate</w:t>
      </w:r>
      <w:r>
        <w:rPr>
          <w:rFonts w:ascii="Times New Roman;Times;serif" w:hAnsi="Times New Roman;Times;serif"/>
          <w:color w:val="000000"/>
          <w:sz w:val="18"/>
        </w:rPr>
        <w:t xml:space="preserve">” shall mean, with respect to any Person, any other Person that directly or indirectly controls, is directly or indirectly controlled by or is directly or indirectly under common control with such first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Anti-Corruption Laws</w:t>
      </w:r>
      <w:r>
        <w:rPr>
          <w:rFonts w:ascii="Times New Roman;Times;serif" w:hAnsi="Times New Roman;Times;serif"/>
          <w:color w:val="000000"/>
          <w:sz w:val="18"/>
        </w:rPr>
        <w:t xml:space="preserve">” shall mean the U.S. Foreign Corrupt Practices Act of 1977, as amended, the UK Bribery Act of 2010 or its predecessor laws, or any other Legal Requirements concerning corrupt payments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Anti-Money Laundering Laws</w:t>
      </w:r>
      <w:r>
        <w:rPr>
          <w:rFonts w:ascii="Times New Roman;Times;serif" w:hAnsi="Times New Roman;Times;serif"/>
          <w:color w:val="000000"/>
          <w:sz w:val="18"/>
        </w:rPr>
        <w:t xml:space="preserve">” shall mean the Money Laundering Control Act of 1986, the USA PATRIOT Act, the UK Proceeds of Crime Act 2002 or any other Legal Requirements concerning the prevention of money laundering, terrorist financing, or financial recordkeeping and reporting relating to same applicable to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Antitrust Laws</w:t>
      </w:r>
      <w:r>
        <w:rPr>
          <w:rFonts w:ascii="Times New Roman;Times;serif" w:hAnsi="Times New Roman;Times;serif"/>
          <w:color w:val="000000"/>
          <w:sz w:val="18"/>
        </w:rPr>
        <w:t xml:space="preserve">” shall mean the Sherman Act, as amended, the Clayton Act, as amended, the HSR Act, the Federal Trade Commission Act, as amended, and all other applicable Legal Requirements issued by a Governmental Entity that are designed or intended to prohibit, restrict or regulate actions having the purpose or effect of monopolization or restraint of trade or lessening of competition through merger or acquisition.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Average Parent Stock Price</w:t>
      </w:r>
      <w:r>
        <w:rPr>
          <w:rFonts w:ascii="Times New Roman;Times;serif" w:hAnsi="Times New Roman;Times;serif"/>
          <w:color w:val="000000"/>
          <w:sz w:val="18"/>
        </w:rPr>
        <w:t xml:space="preserve">” shall mean the average of the volume weighted average trading prices per share of Parent Common Stock on Nasdaq (as reported by Bloomberg L.P. or, if not reported therein, in another authoritative source mutually selected by the parties) on each of the five (5) consecutive Trading Days ending on (and including) the Trading Day that is three (3) Trading Days prior to the date of the Effective Time.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Business Day</w:t>
      </w:r>
      <w:r>
        <w:rPr>
          <w:rFonts w:ascii="Times New Roman;Times;serif" w:hAnsi="Times New Roman;Times;serif"/>
          <w:color w:val="000000"/>
          <w:sz w:val="18"/>
        </w:rPr>
        <w:t xml:space="preserve">” shall mean any day other than a Saturday, a Sunday or other day on which banking institutions in New York, New York, are authorized or required by Legal Requirements to be closed.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Change of Control Agreements</w:t>
      </w:r>
      <w:r>
        <w:rPr>
          <w:rFonts w:ascii="Times New Roman;Times;serif" w:hAnsi="Times New Roman;Times;serif"/>
          <w:color w:val="000000"/>
          <w:sz w:val="18"/>
        </w:rPr>
        <w:t xml:space="preserve">” shall mean each of those certain Change of Control Agreements entered into between the Company and its officers, as set forth in the Company SEC Documents, and the employment agreement between the Company and its Chief Executive Officer.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Clean Team Agreement</w:t>
      </w:r>
      <w:r>
        <w:rPr>
          <w:rFonts w:ascii="Times New Roman;Times;serif" w:hAnsi="Times New Roman;Times;serif"/>
          <w:color w:val="000000"/>
          <w:sz w:val="18"/>
        </w:rPr>
        <w:t xml:space="preserve">” shall mean the Clean Team Agreement, dated June 4, 2026, by and between the Company and Semiconductor Components Industries, LLC.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Code</w:t>
      </w:r>
      <w:r>
        <w:rPr>
          <w:rFonts w:ascii="Times New Roman;Times;serif" w:hAnsi="Times New Roman;Times;serif"/>
          <w:color w:val="000000"/>
          <w:sz w:val="18"/>
        </w:rPr>
        <w:t xml:space="preserve">” shall mean the United States Internal Revenue Code of 1986,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10-K</w:t>
      </w:r>
      <w:r>
        <w:rPr>
          <w:rFonts w:ascii="Times New Roman;Times;serif" w:hAnsi="Times New Roman;Times;serif"/>
          <w:color w:val="000000"/>
          <w:sz w:val="18"/>
        </w:rPr>
        <w:t xml:space="preserve">” shall mean any prior Annual Report of the Company on Form 10-K filed with the SEC.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Acquisition Proposal</w:t>
      </w:r>
      <w:r>
        <w:rPr>
          <w:rFonts w:ascii="Times New Roman;Times;serif" w:hAnsi="Times New Roman;Times;serif"/>
          <w:color w:val="000000"/>
          <w:sz w:val="18"/>
        </w:rPr>
        <w:t xml:space="preserve">” shall mean any offer, indication of interest or proposal (other than an offer or proposal made or submitted by or on behalf of Parent or any of its Subsidiaries) contemplating, involving or otherwise relating to any Company Acquisition Transaction.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Acquisition Transaction</w:t>
      </w:r>
      <w:r>
        <w:rPr>
          <w:rFonts w:ascii="Times New Roman;Times;serif" w:hAnsi="Times New Roman;Times;serif"/>
          <w:color w:val="000000"/>
          <w:sz w:val="18"/>
        </w:rPr>
        <w:t xml:space="preserve">” shall mean any transaction or series of related transactions (other than the Merger or any transaction solely involving the Company and wholly owned Company Subsidiaries): (a) involving any merger, consolidation, amalgamation, share exchange, business combination, joint venture, reorganization or other similar transaction involving the Company; (b) (i) in which any Person or “group” (as defined in the Exchange Act and the rules thereunder) of Persons acquires beneficial or record ownership of securities (or instruments convertible into or exercisable or exchangeable for, such securities) representing twenty percent (20%) or more of the outstanding voting power of the Company; or (ii) in which the Company or any of the Company Subsidiaries issues securities (or instruments convertible into or exercisable or exchangeable for, such securities) representing twenty percent (20%) or more of the outstanding voting power of the Company (after giving effect to such transaction); (c) involving any sale, exchange, transfer, acquisition or disposition of twenty percent (20%) or more of the consolidated assets (measured by book value or fair market value) (including equity securities of any Company Subsidiaries and any entity surviving any merger or combination including any of them) of the Company and the Company Subsidiaries, taken as a whole, or of any business or businesses (or the assets of any business or businesses, including equity securities of any Company Subsidiaries and any entity surviving any merger or combination including any of them) that constitute or account for twenty percent (20%) or more of the consolidated revenues or net income or assets of the Company and the Company Subsidiaries, taken as a whole; (d) involving any tender offer or exchange offer that if consummated would result in any Person or “group” (as defined in the Exchange Act and the rules thereunder) of Persons acquiring beneficial or record ownership of securities (or instruments convertible into or exercisable or exchangeable for such securities) representing twenty percent (20%) or more of the outstanding voting power of the Company; or (e) involving any combination of the foregoing types of transactions if the sum of the percentage of the voting power of the Company or of the consolidated revenues, net income or assets of the Company and the Company Subsidiaries, taken as a whole, involved is twenty percent (20%) or more.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Board</w:t>
      </w:r>
      <w:r>
        <w:rPr>
          <w:rFonts w:ascii="Times New Roman;Times;serif" w:hAnsi="Times New Roman;Times;serif"/>
          <w:color w:val="000000"/>
          <w:sz w:val="18"/>
        </w:rPr>
        <w:t xml:space="preserve">” shall mean the board of directors of the Company.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Common Stock</w:t>
      </w:r>
      <w:r>
        <w:rPr>
          <w:rFonts w:ascii="Times New Roman;Times;serif" w:hAnsi="Times New Roman;Times;serif"/>
          <w:color w:val="000000"/>
          <w:sz w:val="18"/>
        </w:rPr>
        <w:t xml:space="preserve">” shall mean the common stock, par value $0.001 per share,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 Hedge Obligations</w:t>
      </w:r>
      <w:r>
        <w:rPr>
          <w:rFonts w:ascii="Times New Roman;Times;serif" w:hAnsi="Times New Roman;Times;serif"/>
          <w:color w:val="000000"/>
          <w:sz w:val="18"/>
        </w:rPr>
        <w:t xml:space="preserve">” shall mean, collectively, (i) the Base Capped Call Transaction Confirmations, dated November 14, 2024, and (ii) the Additional Capped Call Transaction Confirmations, dated November 22, 2024, in each case, between the Company and each of BNP Paribas, Deutsche Bank AG, London Branch (through its agent Deutsche Bank Securities, Inc.), The Toronto-Dominion Bank (represented by TD Securities (USA) LLC as its agent) and UBS AG, London Branch (represented by UBS Securities LLC as its agent), respectively.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3" w:name="ny20081083x2_defm14a_300a-annexa_pg2"/>
        <w:bookmarkEnd w:id="353"/>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w:t>
      </w:r>
      <w:r>
        <w:rPr>
          <w:rFonts w:ascii="Times New Roman;Times;serif" w:hAnsi="Times New Roman;Times;serif"/>
          <w:color w:val="000000"/>
          <w:sz w:val="18"/>
        </w:rPr>
        <w:t xml:space="preserve">” shall mean the 0.75% Convertible Senior Notes due 2031 issued by the Company under the Company Convertible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Convertible Notes Indenture</w:t>
      </w:r>
      <w:r>
        <w:rPr>
          <w:rFonts w:ascii="Times New Roman;Times;serif" w:hAnsi="Times New Roman;Times;serif"/>
          <w:color w:val="000000"/>
          <w:sz w:val="18"/>
        </w:rPr>
        <w:t xml:space="preserve">” shall mean that certain Indenture, dated as of November 19, 2024, between the Company and U.S. Bank Trust Company, National Association, as trustee,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Credit Agreement</w:t>
      </w:r>
      <w:r>
        <w:rPr>
          <w:rFonts w:ascii="Times New Roman;Times;serif" w:hAnsi="Times New Roman;Times;serif"/>
          <w:color w:val="000000"/>
          <w:sz w:val="18"/>
        </w:rPr>
        <w:t xml:space="preserve">” shall mean that certain Second Amended and Restated Credit Agreement, dated as of March 11, 2021, by and among the Company, the lenders from time to time party thereto, and Wells Fargo Bank, National Association, as administrative agent, including each amendment, modification or supplement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Equity Agreements</w:t>
      </w:r>
      <w:r>
        <w:rPr>
          <w:rFonts w:ascii="Times New Roman;Times;serif" w:hAnsi="Times New Roman;Times;serif"/>
          <w:color w:val="000000"/>
          <w:sz w:val="18"/>
        </w:rPr>
        <w:t xml:space="preserve">” shall mean the Company Inducement Plans, the Company Incentive Plan (in each case, together with all grant agreements evidencing Company RSUs, Company MSUs and Company PSUs) and the Company ESPP.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Equity Awards</w:t>
      </w:r>
      <w:r>
        <w:rPr>
          <w:rFonts w:ascii="Times New Roman;Times;serif" w:hAnsi="Times New Roman;Times;serif"/>
          <w:color w:val="000000"/>
          <w:sz w:val="18"/>
        </w:rPr>
        <w:t xml:space="preserve">” shall mean the Company RSUs, Company MSUs, and Company PSUs.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ESPP</w:t>
      </w:r>
      <w:r>
        <w:rPr>
          <w:rFonts w:ascii="Times New Roman;Times;serif" w:hAnsi="Times New Roman;Times;serif"/>
          <w:color w:val="000000"/>
          <w:sz w:val="18"/>
        </w:rPr>
        <w:t xml:space="preserve">” shall mean the Company’s Amended and Restated 2019 Employee Stock Purchase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Incentive Plan</w:t>
      </w:r>
      <w:r>
        <w:rPr>
          <w:rFonts w:ascii="Times New Roman;Times;serif" w:hAnsi="Times New Roman;Times;serif"/>
          <w:color w:val="000000"/>
          <w:sz w:val="18"/>
        </w:rPr>
        <w:t xml:space="preserve">” shall mean the Company’s Amended and Restated 2019 Equity and Incentive Compensation Plan.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Indentures</w:t>
      </w:r>
      <w:r>
        <w:rPr>
          <w:rFonts w:ascii="Times New Roman;Times;serif" w:hAnsi="Times New Roman;Times;serif"/>
          <w:color w:val="000000"/>
          <w:sz w:val="18"/>
        </w:rPr>
        <w:t xml:space="preserve">” shall mean the Company Convertible Notes Indenture and the Company Senior Notes Indenture.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Inducement Plans</w:t>
      </w:r>
      <w:r>
        <w:rPr>
          <w:rFonts w:ascii="Times New Roman;Times;serif" w:hAnsi="Times New Roman;Times;serif"/>
          <w:color w:val="000000"/>
          <w:sz w:val="18"/>
        </w:rPr>
        <w:t xml:space="preserve">” shall mean the Company’s 2019 and 2025 Inducement Equity Plans,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Company IP</w:t>
      </w:r>
      <w:r>
        <w:rPr>
          <w:rFonts w:ascii="Times New Roman;Times;serif" w:hAnsi="Times New Roman;Times;serif"/>
          <w:color w:val="000000"/>
          <w:sz w:val="18"/>
        </w:rPr>
        <w:t xml:space="preserve">” shall mean all Intellectual Property Rights owned, or purported to be owned,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Material Adverse Effect</w:t>
      </w:r>
      <w:r>
        <w:rPr>
          <w:rFonts w:ascii="Times New Roman;Times;serif" w:hAnsi="Times New Roman;Times;serif"/>
          <w:color w:val="000000"/>
          <w:sz w:val="18"/>
        </w:rPr>
        <w:t>” shall mean any state of facts, circumstance, condition, event, change, development, occurrence, result, effect, action or omission (each, an “</w:t>
      </w:r>
      <w:r>
        <w:rPr>
          <w:rFonts w:ascii="Times New Roman;Times;serif" w:hAnsi="Times New Roman;Times;serif"/>
          <w:color w:val="000000"/>
          <w:sz w:val="18"/>
          <w:u w:val="single"/>
        </w:rPr>
        <w:t>Effect</w:t>
      </w:r>
      <w:r>
        <w:rPr>
          <w:rFonts w:ascii="Times New Roman;Times;serif" w:hAnsi="Times New Roman;Times;serif"/>
          <w:color w:val="000000"/>
          <w:sz w:val="18"/>
        </w:rPr>
        <w:t xml:space="preserve">”) that (i) has had a material adverse effect on the business, condition (financial or otherwise), assets and liabilities (taken together), or results of operations of the Company and the Company Subsidiaries, taken as a whole, or (ii) prevents, materially impairs, materially impedes or materially delays (including delaying past the End Date) the consummation of the Merger and the other transactions contemplated hereby on or before the End Date;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 xml:space="preserve">however, </w:t>
      </w:r>
      <w:r>
        <w:rPr>
          <w:rFonts w:ascii="Times New Roman;Times;serif" w:hAnsi="Times New Roman;Times;serif"/>
          <w:color w:val="000000"/>
          <w:sz w:val="18"/>
        </w:rPr>
        <w:t xml:space="preserve">that with respect to </w:t>
      </w:r>
      <w:r>
        <w:rPr>
          <w:rFonts w:ascii="Times New Roman;Times;serif" w:hAnsi="Times New Roman;Times;serif"/>
          <w:color w:val="000000"/>
          <w:sz w:val="18"/>
          <w:u w:val="single"/>
        </w:rPr>
        <w:t>clause (i)</w:t>
      </w:r>
      <w:r>
        <w:rPr>
          <w:rFonts w:ascii="Times New Roman;Times;serif" w:hAnsi="Times New Roman;Times;serif"/>
          <w:color w:val="000000"/>
          <w:sz w:val="18"/>
        </w:rPr>
        <w:t xml:space="preserve"> only, no Effect to the extent resulting from or arising out of any of the following shall be deemed to constitute, or be taken into account in determining the existence of, a Company Material Adverse Effect: (A) any changes in general economic, political, financial or regulatory conditions (or changes or disruptions therein) in the United States or any other country or region in the world, or conditions in the global economy generally, including changes in securities, credit, debt, capital, banking, currency, foreign exchange or other financial markets, interest or exchange rates, the price of any commodity, security or market index, tariffs or changes in geopolitical conditions; (B) any changes, conditions, effects or disruptions generally affecting the industries or markets in which the Company or any of the Company Subsidiaries operate; (C) any change, decline or increase in the market price or trading volume of, or suspension of trading in, the Company’s equity securities or other securities or indebtedness (it being understood that the underlying causes thereof may be taken into account if not otherwise excluded by another clause of this definition); (D) any failure by the Company or any of the Company Subsidiaries to meet any internal or public projections, forecasts, guidance, estimates, milestones, or internal or published financial or operating predictions of revenue, earnings, cash flow, cash position or other financial or business metrics for any period (it being understood that the underlying causes thereof may be taken into account if not otherwise excluded by another clause of this definition); (E) any changes in, or changes in the interpretation, enforcement or implementation of, applicable Legal Requirements, government policies, Orders (including related to Taxes) or GAAP or other accounting standards; (F) any changes in global, national, regional or local political, legislative or regulatory conditions, or the outbreak, continuation, escalation or worsening of war (whether or not declared), armed or unarmed hostilities or attacks, insurrection, sabotage, acts of terrorism, civil unrest, protests, blockades, embargoes, police actions or military conflicts; (G) any acts of God, natural or man made disasters, environmental events or force majeure events, including earthquakes, hurricanes, tsunamis, floods, mudslides, wild fires, tornadoes, storms, widespread power outages, nuclear incidents, pandemics, epidemics, disease outbreaks, public health emergencies, quarantines or other similar public health measures, and any governmental responses thereto; (H) the negotiation, execution, delivery, public announcement, pendency or consummation of this Agreement or the transactions contemplated hereby (including the Merger), including the identity of Parent, Merger Sub or any of their respective controlled Affiliates, and any impact resulting therefrom on relationships, contractual or otherwise, with customers, suppliers, distributors, vendors, licensors, licensees, lenders, partners or employees (including any loss or departure of personnel), and any costs or expenses related thereto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the exceptions in this </w:t>
      </w:r>
      <w:r>
        <w:rPr>
          <w:rFonts w:ascii="Times New Roman;Times;serif" w:hAnsi="Times New Roman;Times;serif"/>
          <w:color w:val="000000"/>
          <w:sz w:val="18"/>
          <w:u w:val="single"/>
        </w:rPr>
        <w:t>clause (H)</w:t>
      </w:r>
      <w:r>
        <w:rPr>
          <w:rFonts w:ascii="Times New Roman;Times;serif" w:hAnsi="Times New Roman;Times;serif"/>
          <w:color w:val="000000"/>
          <w:sz w:val="18"/>
        </w:rPr>
        <w:t xml:space="preserve"> will not apply with respect to the representations and warranties contained in </w:t>
      </w:r>
      <w:r>
        <w:rPr>
          <w:rFonts w:ascii="Times New Roman;Times;serif" w:hAnsi="Times New Roman;Times;serif"/>
          <w:color w:val="000000"/>
          <w:sz w:val="18"/>
          <w:u w:val="single"/>
        </w:rPr>
        <w:t>Section 2.6</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5.2(a)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6.1(g)</w:t>
      </w:r>
      <w:r>
        <w:rPr>
          <w:rFonts w:ascii="Times New Roman;Times;serif" w:hAnsi="Times New Roman;Times;serif"/>
          <w:color w:val="000000"/>
          <w:sz w:val="18"/>
        </w:rPr>
        <w:t xml:space="preserve"> to the extent related to such portions of such representations and warranties); (I) any claims, actions or Legal Proceedings, including stockholder class actions or derivative litigation, arising from or to the extent relating to allegations of breach of fiduciary duty, violations of securities Laws, false or misleading disclosure, or otherwise, in each case arising out of or to the extent relating to this Agreement, the Merger or the transactions contemplated hereby; (J) any action taken or omitted to be taken by the Company or any of the Company Subsidiaries that is expressly required by this Agreement, or expressly prohibited by this Agreement, or taken at the written request, direction, consent or approval of Parent; or (K) any breach, violation or non performance of this Agreement by Parent or Merger Sub;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further</w:t>
      </w:r>
      <w:r>
        <w:rPr>
          <w:rFonts w:ascii="Times New Roman;Times;serif" w:hAnsi="Times New Roman;Times;serif"/>
          <w:color w:val="000000"/>
          <w:sz w:val="18"/>
        </w:rPr>
        <w:t xml:space="preserve">, that any Effect described in </w:t>
      </w:r>
      <w:r>
        <w:rPr>
          <w:rFonts w:ascii="Times New Roman;Times;serif" w:hAnsi="Times New Roman;Times;serif"/>
          <w:color w:val="000000"/>
          <w:sz w:val="18"/>
          <w:u w:val="single"/>
        </w:rPr>
        <w:t>clauses (A)</w:t>
      </w:r>
      <w:r>
        <w:rPr>
          <w:rFonts w:ascii="Times New Roman;Times;serif" w:hAnsi="Times New Roman;Times;serif"/>
          <w:color w:val="000000"/>
          <w:sz w:val="18"/>
        </w:rPr>
        <w:t xml:space="preserve">, </w:t>
      </w:r>
      <w:r>
        <w:rPr>
          <w:rFonts w:ascii="Times New Roman;Times;serif" w:hAnsi="Times New Roman;Times;serif"/>
          <w:color w:val="000000"/>
          <w:sz w:val="18"/>
          <w:u w:val="single"/>
        </w:rPr>
        <w:t>(B)</w:t>
      </w:r>
      <w:r>
        <w:rPr>
          <w:rFonts w:ascii="Times New Roman;Times;serif" w:hAnsi="Times New Roman;Times;serif"/>
          <w:color w:val="000000"/>
          <w:sz w:val="18"/>
        </w:rPr>
        <w:t xml:space="preserve">, </w:t>
      </w:r>
      <w:r>
        <w:rPr>
          <w:rFonts w:ascii="Times New Roman;Times;serif" w:hAnsi="Times New Roman;Times;serif"/>
          <w:color w:val="000000"/>
          <w:sz w:val="18"/>
          <w:u w:val="single"/>
        </w:rPr>
        <w:t>(E)</w:t>
      </w:r>
      <w:r>
        <w:rPr>
          <w:rFonts w:ascii="Times New Roman;Times;serif" w:hAnsi="Times New Roman;Times;serif"/>
          <w:color w:val="000000"/>
          <w:sz w:val="18"/>
        </w:rPr>
        <w:t xml:space="preserve">, </w:t>
      </w:r>
      <w:r>
        <w:rPr>
          <w:rFonts w:ascii="Times New Roman;Times;serif" w:hAnsi="Times New Roman;Times;serif"/>
          <w:color w:val="000000"/>
          <w:sz w:val="18"/>
          <w:u w:val="single"/>
        </w:rPr>
        <w:t>(F)</w:t>
      </w:r>
      <w:r>
        <w:rPr>
          <w:rFonts w:ascii="Times New Roman;Times;serif" w:hAnsi="Times New Roman;Times;serif"/>
          <w:color w:val="000000"/>
          <w:sz w:val="18"/>
        </w:rPr>
        <w:t xml:space="preserve">, or </w:t>
      </w:r>
      <w:r>
        <w:rPr>
          <w:rFonts w:ascii="Times New Roman;Times;serif" w:hAnsi="Times New Roman;Times;serif"/>
          <w:color w:val="000000"/>
          <w:sz w:val="18"/>
          <w:u w:val="single"/>
        </w:rPr>
        <w:t>(G)</w:t>
      </w:r>
      <w:r>
        <w:rPr>
          <w:rFonts w:ascii="Times New Roman;Times;serif" w:hAnsi="Times New Roman;Times;serif"/>
          <w:color w:val="000000"/>
          <w:sz w:val="18"/>
        </w:rPr>
        <w:t xml:space="preserve"> may be taken into account in determining whether a Company Material Adverse Effect has occurred if, and solely to the extent that, such Effect has a disproportionate adverse impact on the Company and the Company’s Subsidiaries, taken as a whole, as compared to other companies of comparable size operating in the same industries, geographies and markets (and, in such case, only to the extent of such disproportionate adverse impact).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MSUs</w:t>
      </w:r>
      <w:r>
        <w:rPr>
          <w:rFonts w:ascii="Times New Roman;Times;serif" w:hAnsi="Times New Roman;Times;serif"/>
          <w:color w:val="000000"/>
          <w:sz w:val="18"/>
        </w:rPr>
        <w:t xml:space="preserve">” shall mean market stock units representing the right to vest in and be issued shares of Company Common Stock by the Company that are subject to vesting restrictions based on the Company’s relative market performance and continuing service.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4" w:name="ny20081083x2_defm14a_300a-annexa_pg3"/>
        <w:bookmarkEnd w:id="354"/>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pledges or deposits arising in the ordinary course of business to secure obligations under workers’ compensation laws or similar legislation or to secure public or statutory obligations; (f) with respect to any Company Leased Real Property, Liens affecting the interest of the owner of the real property that is the subject of such applicable Company Leased Real Property; (g) Liens, encumbrances or imperfections of title which do not and would not reasonably be expected to, individually or in the aggregate, materially impair the use of the subject property as used by the Company and the Company Subsidiaries and (h) Liens arising under any Company Indentures or the Company’s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the Company or any Company Subsidiary sponsors, maintains, or contributes to for the benefit of its current or former employees, directors or other individual service providers (or any beneficiaries or dependents thereof) or with respect to which the Company or any Company Subsidiary has any liability; </w:t>
      </w:r>
      <w:r>
        <w:rPr>
          <w:rFonts w:ascii="Times New Roman;Times;serif" w:hAnsi="Times New Roman;Times;serif"/>
          <w:i/>
          <w:color w:val="000000"/>
          <w:sz w:val="18"/>
        </w:rPr>
        <w:t>provided</w:t>
      </w:r>
      <w:r>
        <w:rPr>
          <w:rFonts w:ascii="Times New Roman;Times;serif" w:hAnsi="Times New Roman;Times;serif"/>
          <w:color w:val="000000"/>
          <w:sz w:val="18"/>
        </w:rPr>
        <w:t xml:space="preserve">, </w:t>
      </w:r>
      <w:r>
        <w:rPr>
          <w:rFonts w:ascii="Times New Roman;Times;serif" w:hAnsi="Times New Roman;Times;serif"/>
          <w:i/>
          <w:color w:val="000000"/>
          <w:sz w:val="18"/>
        </w:rPr>
        <w:t>that</w:t>
      </w:r>
      <w:r>
        <w:rPr>
          <w:rFonts w:ascii="Times New Roman;Times;serif" w:hAnsi="Times New Roman;Times;serif"/>
          <w:color w:val="000000"/>
          <w:sz w:val="18"/>
        </w:rPr>
        <w:t xml:space="preserve">, any governmental plan or program requiring the mandatory payment of social insurance taxes or similar contributions to a governmental fund with respect to the wages of an employee will not be considered a “Company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Products</w:t>
      </w:r>
      <w:r>
        <w:rPr>
          <w:rFonts w:ascii="Times New Roman;Times;serif" w:hAnsi="Times New Roman;Times;serif"/>
          <w:color w:val="000000"/>
          <w:sz w:val="18"/>
        </w:rPr>
        <w:t xml:space="preserve">” shall mean any and all products and services that are or have been since January 1, 2024 marketed, offered, sold, licensed, provided, distributed or supported by the Company or any Company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PSUs</w:t>
      </w:r>
      <w:r>
        <w:rPr>
          <w:rFonts w:ascii="Times New Roman;Times;serif" w:hAnsi="Times New Roman;Times;serif"/>
          <w:color w:val="000000"/>
          <w:sz w:val="18"/>
        </w:rPr>
        <w:t xml:space="preserve">” shall mean performance stock units representing the right to vest in and be issued shares of Company Common Stock by the Company that are subject to vesting restrictions based on the Company’s performance and continuing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RSUs</w:t>
      </w:r>
      <w:r>
        <w:rPr>
          <w:rFonts w:ascii="Times New Roman;Times;serif" w:hAnsi="Times New Roman;Times;serif"/>
          <w:color w:val="000000"/>
          <w:sz w:val="18"/>
        </w:rPr>
        <w:t xml:space="preserve">” shall mean restricted stock units representing the right to vest in and be issued shares of Company Common Stock by the Company that are subject to vesting restrictions based on continuing service.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w:t>
      </w:r>
      <w:r>
        <w:rPr>
          <w:rFonts w:ascii="Times New Roman;Times;serif" w:hAnsi="Times New Roman;Times;serif"/>
          <w:color w:val="000000"/>
          <w:sz w:val="18"/>
        </w:rPr>
        <w:t xml:space="preserve">” shall mean the 4.000% Senior Notes due 2029 issued by the Company under the Company Senior Notes Indenture.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Senior Notes Indenture</w:t>
      </w:r>
      <w:r>
        <w:rPr>
          <w:rFonts w:ascii="Times New Roman;Times;serif" w:hAnsi="Times New Roman;Times;serif"/>
          <w:color w:val="000000"/>
          <w:sz w:val="18"/>
        </w:rPr>
        <w:t xml:space="preserve">” shall mean that certain Indenture, dated as of March 11, 2021, among the Company, Company Subsidiary guarantors party thereto and Wells Fargo Bank, National Association, as trustee, including each amendment, modification or supplement thereto.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Subsidiary</w:t>
      </w:r>
      <w:r>
        <w:rPr>
          <w:rFonts w:ascii="Times New Roman;Times;serif" w:hAnsi="Times New Roman;Times;serif"/>
          <w:color w:val="000000"/>
          <w:sz w:val="18"/>
        </w:rPr>
        <w:t xml:space="preserve">” shall mean any direct or indirect Subsidiary of the Company.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Superior Proposal</w:t>
      </w:r>
      <w:r>
        <w:rPr>
          <w:rFonts w:ascii="Times New Roman;Times;serif" w:hAnsi="Times New Roman;Times;serif"/>
          <w:color w:val="000000"/>
          <w:sz w:val="18"/>
        </w:rPr>
        <w:t xml:space="preserve">” shall mean any bona fide written Company Acquisition Proposal made after the date of this Agreement that: (a) if consummated, would result in any Person or “group” (as defined in the Exchange Act and the rules thereunder) of Persons (other than Parent) directly or indirectly becoming the beneficial owner of (i) any business or businesses that constitute or account for fifty percent (50%) or more of the consolidated net revenues, net income or assets of the Company and the Company Subsidiaries, taken as a whole, or (ii) fifty percent (50%) or more of the outstanding total voting power of the equity securities of the Company; and (b) the Company Board determines in good faith, after consultation with the Company’s outside legal counsel and its financial advisor or advisors, taking into account such factors as the Company Board considers to be appropriate or relevant, including the timing, likelihood of consummation, confidentiality, legal, financial, regulatory, financing, form and tax treatment of consideration and other aspects of such Company Acquisition Proposal, including the identity of the Person making such Company Acquisition Proposal and likelihood of obtaining financing for such Company Acquisition Proposal, (i) is reasonably likely to be consummated on the terms proposed if accepted and (ii) if consummated would be more favorable to the holders of shares of Company Common Stock (including taking into account payment by the Company of the Company Termination Fee) from a financial point of view than the transactions contemplated by this Agreement (after giving effect to any revisions to the terms of the Agreement committed to in writing by Parent in response to such Company Acquisition Proposal pursuant to </w:t>
      </w:r>
      <w:r>
        <w:rPr>
          <w:rFonts w:ascii="Times New Roman;Times;serif" w:hAnsi="Times New Roman;Times;serif"/>
          <w:color w:val="000000"/>
          <w:sz w:val="18"/>
          <w:u w:val="single"/>
        </w:rPr>
        <w:t>Section 4.5</w:t>
      </w:r>
      <w:r>
        <w:rPr>
          <w:rFonts w:ascii="Times New Roman;Times;serif" w:hAnsi="Times New Roman;Times;serif"/>
          <w:color w:val="000000"/>
          <w:sz w:val="18"/>
        </w:rPr>
        <w:t xml:space="preserve">).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Company Termination Fee</w:t>
      </w:r>
      <w:r>
        <w:rPr>
          <w:rFonts w:ascii="Times New Roman;Times;serif" w:hAnsi="Times New Roman;Times;serif"/>
          <w:color w:val="000000"/>
          <w:sz w:val="18"/>
        </w:rPr>
        <w:t xml:space="preserve">” shall mean an amount in cash equal to Two Hundred Thirty-Five Million dollars ($235,000,000).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Customer</w:t>
      </w:r>
      <w:r>
        <w:rPr>
          <w:rFonts w:ascii="Times New Roman;Times;serif" w:hAnsi="Times New Roman;Times;serif"/>
          <w:color w:val="000000"/>
          <w:sz w:val="18"/>
        </w:rPr>
        <w:t xml:space="preserve">” shall mean (i) a top twenty (20) customer of the Company and the Company Subsidiaries, taken as a whole, based on revenues during the twelve (12) months ended June 28, 2025, and (ii) a top twenty (20) customer of the Company and the Company Subsidiaries, taken as a whole, based on revenues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Distributor</w:t>
      </w:r>
      <w:r>
        <w:rPr>
          <w:rFonts w:ascii="Times New Roman;Times;serif" w:hAnsi="Times New Roman;Times;serif"/>
          <w:color w:val="000000"/>
          <w:sz w:val="18"/>
        </w:rPr>
        <w:t xml:space="preserve">” shall mean (i) a top ten (10) distributor of the Company and the Company Subsidiaries, taken as a whole, based on revenues during the twelve (12) months ended June 28, 2025, and (ii) a top ten (10) distributor of the Company and the Company Subsidiaries, taken as a whole, based on revenues during the twelve (12) months ended June 25, 2026.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5" w:name="ny20081083x2_defm14a_300a-annexa_pg4"/>
        <w:bookmarkEnd w:id="355"/>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Company Top Supplier</w:t>
      </w:r>
      <w:r>
        <w:rPr>
          <w:rFonts w:ascii="Times New Roman;Times;serif" w:hAnsi="Times New Roman;Times;serif"/>
          <w:color w:val="000000"/>
          <w:sz w:val="18"/>
        </w:rPr>
        <w:t xml:space="preserve">” shall mean (i) a top ten (10) supplier of the Company and the Company Subsidiaries, taken as a whole, based on expenditures during the twelve (12) months ended June 28, 2025, and (ii) a top ten (10) supplier of the Company and the Company Subsidiaries, taken as a whole, based on expenditures during the twelve (12) months ended June 25,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Contract</w:t>
      </w:r>
      <w:r>
        <w:rPr>
          <w:rFonts w:ascii="Times New Roman;Times;serif" w:hAnsi="Times New Roman;Times;serif"/>
          <w:color w:val="000000"/>
          <w:sz w:val="18"/>
        </w:rPr>
        <w:t xml:space="preserve">” shall mean any contract, subcontract, note, bond, mortgage, indenture, lease, license, sublicense, guaranty, security agreement, franchise or other legally binding instrument, commitment, agreement or obligation, whether oral or in writing.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Conversion Ratio</w:t>
      </w:r>
      <w:r>
        <w:rPr>
          <w:rFonts w:ascii="Times New Roman;Times;serif" w:hAnsi="Times New Roman;Times;serif"/>
          <w:color w:val="000000"/>
          <w:sz w:val="18"/>
        </w:rPr>
        <w:t xml:space="preserve">” shall mean the quotient (rounded to the fourth decimal place) of (A) the per-share Merger Consideration divided by (B) the Average Parent Stock Price.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DGCL</w:t>
      </w:r>
      <w:r>
        <w:rPr>
          <w:rFonts w:ascii="Times New Roman;Times;serif" w:hAnsi="Times New Roman;Times;serif"/>
          <w:color w:val="000000"/>
          <w:sz w:val="18"/>
        </w:rPr>
        <w:t xml:space="preserve">” shall mean the Delaware General Corporation Law,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Enforceability Limitations</w:t>
      </w:r>
      <w:r>
        <w:rPr>
          <w:rFonts w:ascii="Times New Roman;Times;serif" w:hAnsi="Times New Roman;Times;serif"/>
          <w:color w:val="000000"/>
          <w:sz w:val="18"/>
        </w:rPr>
        <w:t xml:space="preserve">” shall mean (a) applicable bankruptcy, insolvency (including all Legal Requirements related to fraudulent transfers), fraudulent conveyance, reorganization, moratorium, the relief of debtors, and other similar Legal Requirements, now or hereafter in effect, of general applicability relating to or affecting creditors’ rights and remedies generally, (b) rules of law governing specific performance, injunctive relief and other equitable remedies, and (c) legal limitations on the enforceability of provisions requiring indemnification against liabilities under securities laws in connection with the offering, sale or issuance of securities.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Entity</w:t>
      </w:r>
      <w:r>
        <w:rPr>
          <w:rFonts w:ascii="Times New Roman;Times;serif" w:hAnsi="Times New Roman;Times;serif"/>
          <w:color w:val="000000"/>
          <w:sz w:val="18"/>
        </w:rPr>
        <w:t xml:space="preserve">” shall mean any corporation (including any non-profit corporation), general partnership, limited partnership, limited liability partnership, joint venture, estate, trust, company (including any company limited by shares, limited liability company or joint stock company), firm, society or other enterprise, association, organization or entity (including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Environmental Law</w:t>
      </w:r>
      <w:r>
        <w:rPr>
          <w:rFonts w:ascii="Times New Roman;Times;serif" w:hAnsi="Times New Roman;Times;serif"/>
          <w:color w:val="000000"/>
          <w:sz w:val="18"/>
        </w:rPr>
        <w:t xml:space="preserve">” shall mean any Legal Requirement relating to pollution or protection, preservation or restoration of the environment (including air, surface water, groundwater, drinking water supply, surface land, subsurface land, plant and animal life or any other natural resource), including any such Legal Requirement regulating emissions, discharges or releases of pollutants, contaminants, wastes, toxic substances, exposure to or release of, or the management of any hazardous materials.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ERISA</w:t>
      </w:r>
      <w:r>
        <w:rPr>
          <w:rFonts w:ascii="Times New Roman;Times;serif" w:hAnsi="Times New Roman;Times;serif"/>
          <w:color w:val="000000"/>
          <w:sz w:val="18"/>
        </w:rPr>
        <w:t xml:space="preserve">” shall mean the Employee Retirement Income Security Act of 1974,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ERISA Affiliate</w:t>
      </w:r>
      <w:r>
        <w:rPr>
          <w:rFonts w:ascii="Times New Roman;Times;serif" w:hAnsi="Times New Roman;Times;serif"/>
          <w:color w:val="000000"/>
          <w:sz w:val="18"/>
        </w:rPr>
        <w:t xml:space="preserve">” shall mean each entity, that together with the Company, is treated as a single employer within the meaning of Section 4001(b)(1) of ERISA or Section 414(b), (c), (m) or (o) of the Code.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Exchange Act</w:t>
      </w:r>
      <w:r>
        <w:rPr>
          <w:rFonts w:ascii="Times New Roman;Times;serif" w:hAnsi="Times New Roman;Times;serif"/>
          <w:color w:val="000000"/>
          <w:sz w:val="18"/>
        </w:rPr>
        <w:t xml:space="preserve">” shall mean the Securities Exchange Act of 1934,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Export Control Laws</w:t>
      </w:r>
      <w:r>
        <w:rPr>
          <w:rFonts w:ascii="Times New Roman;Times;serif" w:hAnsi="Times New Roman;Times;serif"/>
          <w:color w:val="000000"/>
          <w:sz w:val="18"/>
        </w:rPr>
        <w:t xml:space="preserve">” shall mean (a) all applicable trade, export control, import, and antiboycott laws and regulations imposed, administered, or enforced by the U.S. government, including the Arms Export Control Act (22 U.S.C. § 2778), the International Emergency Economic Powers Act (50 U.S.C. §§ 1701- 1706), Section 999 of the Internal Revenue Code, Title 19 of the U.S. Code, the International Traffic in Arms Regulations (22 C.F.R. Parts 120--130), the Export Administration Regulations (15 C.F.R. Parts 730-774), the Export Control Reform Act of 2018 (50 U.S.C. §§ 4801-4852), the U.S. customs regulations at 19 C.F.R. Chapter 1, and the Foreign Trade Regulations (15 C.F.R. Part 30); and (b) all applicable trade, export control, import, and antiboycott laws and regulations imposed, administered or enforced by any other country, except to the extent inconsistent with U.S. law.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FDI Laws</w:t>
      </w:r>
      <w:r>
        <w:rPr>
          <w:rFonts w:ascii="Times New Roman;Times;serif" w:hAnsi="Times New Roman;Times;serif"/>
          <w:color w:val="000000"/>
          <w:sz w:val="18"/>
        </w:rPr>
        <w:t xml:space="preserve">” shall mean any Legal Requirements designed or intended to prohibit, restrict or regulate on national security or public order grounds actions by foreigners or non-domiciled persons to acquire interests in domestic equities, securities, entities, assets, land or interests.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Financing</w:t>
      </w:r>
      <w:r>
        <w:rPr>
          <w:rFonts w:ascii="Times New Roman;Times;serif" w:hAnsi="Times New Roman;Times;serif"/>
          <w:color w:val="000000"/>
          <w:sz w:val="18"/>
        </w:rPr>
        <w:t xml:space="preserve">” means any debt financing obtained or proposed to be obtained by Parent, Merger Sub or any other Subsidiaries of Parent, including the Committed Financing and any debt financing committed pursuant to the Debt Commitment Letter, the proceeds of which are intended to be used (x) to finance the payment, in whole or in part, of the Merger Consideration, (y) in connection with the Credit Facility Termination, the redemption or repurchase of the Company Senior Notes or the Company Convertible Notes or the conversion of the Company Convertible Notes or (z) to finance the payment of any other amounts payable by Parent or Merger Sub under this Agreement or in connection with the transactions contemplated hereby.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Financing Related Parties</w:t>
      </w:r>
      <w:r>
        <w:rPr>
          <w:rFonts w:ascii="Times New Roman;Times;serif" w:hAnsi="Times New Roman;Times;serif"/>
          <w:color w:val="000000"/>
          <w:sz w:val="18"/>
        </w:rPr>
        <w:t>” means the entities that have committed to provide or arrange or otherwise entered into agreements in connection with the Financing, or to purchase debt securities from or place debt securities or arrange or provide loans for Parent as part of the Financing, or otherwise acting as an arranger, bookrunner, underwriter, initial purchaser, placement agent, administrative or collateral agent, trustee or similar representative in respect of any part of the Financing, including the parties to any applicable commitment letter, engagement letter, joinder agreements, indentures or credit agreements relating thereto (the “</w:t>
      </w:r>
      <w:r>
        <w:rPr>
          <w:rFonts w:ascii="Times New Roman;Times;serif" w:hAnsi="Times New Roman;Times;serif"/>
          <w:color w:val="000000"/>
          <w:sz w:val="18"/>
          <w:u w:val="single"/>
        </w:rPr>
        <w:t>Financing Sources</w:t>
      </w:r>
      <w:r>
        <w:rPr>
          <w:rFonts w:ascii="Times New Roman;Times;serif" w:hAnsi="Times New Roman;Times;serif"/>
          <w:color w:val="000000"/>
          <w:sz w:val="18"/>
        </w:rPr>
        <w:t xml:space="preserve">”) and their respective affiliates and their and their respective affiliates’ former, current and future equityholders, officers, directors, employees, agents and Representatives and their respective successors and assigns; </w:t>
      </w:r>
      <w:r>
        <w:rPr>
          <w:rFonts w:ascii="Times New Roman;Times;serif" w:hAnsi="Times New Roman;Times;serif"/>
          <w:i/>
          <w:color w:val="000000"/>
          <w:sz w:val="18"/>
        </w:rPr>
        <w:t>provided</w:t>
      </w:r>
      <w:r>
        <w:rPr>
          <w:rFonts w:ascii="Times New Roman;Times;serif" w:hAnsi="Times New Roman;Times;serif"/>
          <w:color w:val="000000"/>
          <w:sz w:val="18"/>
        </w:rPr>
        <w:t xml:space="preserve"> that neither Parent nor any affiliate of Parent shall be a Financing Related Party.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Financing Sources</w:t>
      </w:r>
      <w:r>
        <w:rPr>
          <w:rFonts w:ascii="Times New Roman;Times;serif" w:hAnsi="Times New Roman;Times;serif"/>
          <w:color w:val="000000"/>
          <w:sz w:val="18"/>
        </w:rPr>
        <w:t>” shall have the meaning set forth in the definition of “</w:t>
      </w:r>
      <w:r>
        <w:rPr>
          <w:rFonts w:ascii="Times New Roman;Times;serif" w:hAnsi="Times New Roman;Times;serif"/>
          <w:color w:val="000000"/>
          <w:sz w:val="18"/>
          <w:u w:val="single"/>
        </w:rPr>
        <w:t>Financing Related Parties</w:t>
      </w:r>
      <w:r>
        <w:rPr>
          <w:rFonts w:ascii="Times New Roman;Times;serif" w:hAnsi="Times New Roman;Times;serif"/>
          <w:color w:val="000000"/>
          <w:sz w:val="18"/>
        </w:rPr>
        <w:t xml:space="preserve">”.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GAAP</w:t>
      </w:r>
      <w:r>
        <w:rPr>
          <w:rFonts w:ascii="Times New Roman;Times;serif" w:hAnsi="Times New Roman;Times;serif"/>
          <w:color w:val="000000"/>
          <w:sz w:val="18"/>
        </w:rPr>
        <w:t xml:space="preserve">” shall mean United States generally accepted accounting principles.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Authorization</w:t>
      </w:r>
      <w:r>
        <w:rPr>
          <w:rFonts w:ascii="Times New Roman;Times;serif" w:hAnsi="Times New Roman;Times;serif"/>
          <w:color w:val="000000"/>
          <w:sz w:val="18"/>
        </w:rPr>
        <w:t xml:space="preserve">” shall mean any franchise, grants, easement, variance, exception, consent, certificate, approval, clearance, permission, permit, license, registration, qualification, expiration of applicable waiting periods, or authorization granted, or permitted in the case of expiration of applicable waiting periods, by any Governmental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6" w:name="ny20081083x2_defm14a_300a-annexa_pg5"/>
        <w:bookmarkEnd w:id="356"/>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Governmental Entity</w:t>
      </w:r>
      <w:r>
        <w:rPr>
          <w:rFonts w:ascii="Times New Roman;Times;serif" w:hAnsi="Times New Roman;Times;serif"/>
          <w:color w:val="000000"/>
          <w:sz w:val="18"/>
        </w:rPr>
        <w:t xml:space="preserve">” shall mean any federal, state, local or foreign governmental authority, any transnational governmental organization or any court of competent jurisdiction, arbitral, administrative agency or commission or other governmental authority or instrumentality, domestic or foreign.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HSR Act</w:t>
      </w:r>
      <w:r>
        <w:rPr>
          <w:rFonts w:ascii="Times New Roman;Times;serif" w:hAnsi="Times New Roman;Times;serif"/>
          <w:color w:val="000000"/>
          <w:sz w:val="18"/>
        </w:rPr>
        <w:t xml:space="preserve">” shall mean the Hart-Scott-Rodino Antitrust Improvements Act of 1976, as amended.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Intellectual Property Rights</w:t>
      </w:r>
      <w:r>
        <w:rPr>
          <w:rFonts w:ascii="Times New Roman;Times;serif" w:hAnsi="Times New Roman;Times;serif"/>
          <w:color w:val="000000"/>
          <w:sz w:val="18"/>
        </w:rPr>
        <w:t>” shall mean any and all common law or statutory rights anywhere in the world arising under or associated with: (i) patents, patent applications, statutory invention registrations, registered designs, industrial designs and design patents, and similar or equivalent rights in inventions and designs, and all intellectual property rights therein provided by international treaties and conventions, including all divisions, continuations, continuations-in-part, reissues, renewals, re-examinations, provisionals and extensions thereof (“</w:t>
      </w:r>
      <w:r>
        <w:rPr>
          <w:rFonts w:ascii="Times New Roman;Times;serif" w:hAnsi="Times New Roman;Times;serif"/>
          <w:color w:val="000000"/>
          <w:sz w:val="18"/>
          <w:u w:val="single"/>
        </w:rPr>
        <w:t>Patents</w:t>
      </w:r>
      <w:r>
        <w:rPr>
          <w:rFonts w:ascii="Times New Roman;Times;serif" w:hAnsi="Times New Roman;Times;serif"/>
          <w:color w:val="000000"/>
          <w:sz w:val="18"/>
        </w:rPr>
        <w:t>”); (ii) trademarks, service marks, trade dress, trade names, company names, logos and other designations of origin, and the goodwill associated with any of the foregoing, together with any registrations and applications for registration thereof (“</w:t>
      </w:r>
      <w:r>
        <w:rPr>
          <w:rFonts w:ascii="Times New Roman;Times;serif" w:hAnsi="Times New Roman;Times;serif"/>
          <w:color w:val="000000"/>
          <w:sz w:val="18"/>
          <w:u w:val="single"/>
        </w:rPr>
        <w:t>Marks</w:t>
      </w:r>
      <w:r>
        <w:rPr>
          <w:rFonts w:ascii="Times New Roman;Times;serif" w:hAnsi="Times New Roman;Times;serif"/>
          <w:color w:val="000000"/>
          <w:sz w:val="18"/>
        </w:rPr>
        <w:t>”); (iii) URL and domain name registrations, uniform resource locators, and Internet Protocol addresses, social media handles and other names, identifiers and locators associated with Internet addresses, sites and services; (iv) copyrights and any other equivalent rights in works of authorship (including intellectual property rights in Software as a work of authorship), whether registered or unregistered, moral rights, and any other rights of authors, and any registrations and applications for registration thereof (“</w:t>
      </w:r>
      <w:r>
        <w:rPr>
          <w:rFonts w:ascii="Times New Roman;Times;serif" w:hAnsi="Times New Roman;Times;serif"/>
          <w:color w:val="000000"/>
          <w:sz w:val="18"/>
          <w:u w:val="single"/>
        </w:rPr>
        <w:t>Copyrights</w:t>
      </w:r>
      <w:r>
        <w:rPr>
          <w:rFonts w:ascii="Times New Roman;Times;serif" w:hAnsi="Times New Roman;Times;serif"/>
          <w:color w:val="000000"/>
          <w:sz w:val="18"/>
        </w:rPr>
        <w:t>”); (v) mask work rights (as defined in the Semiconductor Chip Protection Act, 17 U.S.C. § § 901-914) and any other intellectual property right in semiconductor topology or mask works, and any registration therefor (“</w:t>
      </w:r>
      <w:r>
        <w:rPr>
          <w:rFonts w:ascii="Times New Roman;Times;serif" w:hAnsi="Times New Roman;Times;serif"/>
          <w:color w:val="000000"/>
          <w:sz w:val="18"/>
          <w:u w:val="single"/>
        </w:rPr>
        <w:t>Mask Work Rights</w:t>
      </w:r>
      <w:r>
        <w:rPr>
          <w:rFonts w:ascii="Times New Roman;Times;serif" w:hAnsi="Times New Roman;Times;serif"/>
          <w:color w:val="000000"/>
          <w:sz w:val="18"/>
        </w:rPr>
        <w:t>”); (vi) trade secrets and industrial secret rights, proprietary know-how, and confidential and proprietary data and business or technical information, including any ideas, formulas, compositions, inventions (whether patentable or not and however documented), processes, techniques, specifications, business plans, proposals, designs, technical data, invention disclosures, customer data, financial information, pricing and cost information, bills of material or other similar information (“</w:t>
      </w:r>
      <w:r>
        <w:rPr>
          <w:rFonts w:ascii="Times New Roman;Times;serif" w:hAnsi="Times New Roman;Times;serif"/>
          <w:color w:val="000000"/>
          <w:sz w:val="18"/>
          <w:u w:val="single"/>
        </w:rPr>
        <w:t>Trade Secrets</w:t>
      </w:r>
      <w:r>
        <w:rPr>
          <w:rFonts w:ascii="Times New Roman;Times;serif" w:hAnsi="Times New Roman;Times;serif"/>
          <w:color w:val="000000"/>
          <w:sz w:val="18"/>
        </w:rPr>
        <w:t xml:space="preserve">”); (vii) rights in databases and data collections (including rights (if any) in design databases, knowledge databases, customer lists and customer databases) under the laws of the United States or any other jurisdiction, whether registered or unregistered, and any applications for registration therefor; and (viii) other similar or equivalent intellectual property rights anywhere in the world.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IRS</w:t>
      </w:r>
      <w:r>
        <w:rPr>
          <w:rFonts w:ascii="Times New Roman;Times;serif" w:hAnsi="Times New Roman;Times;serif"/>
          <w:color w:val="000000"/>
          <w:sz w:val="18"/>
        </w:rPr>
        <w:t xml:space="preserve">” shall mean the United States Internal Revenue Service.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Joint Defense Agreement</w:t>
      </w:r>
      <w:r>
        <w:rPr>
          <w:rFonts w:ascii="Times New Roman;Times;serif" w:hAnsi="Times New Roman;Times;serif"/>
          <w:color w:val="000000"/>
          <w:sz w:val="18"/>
        </w:rPr>
        <w:t xml:space="preserve">” shall mean the joint defense agreement among Parent, the Company and their respective counsel, dated as of June 13,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Company</w:t>
      </w:r>
      <w:r>
        <w:rPr>
          <w:rFonts w:ascii="Times New Roman;Times;serif" w:hAnsi="Times New Roman;Times;serif"/>
          <w:color w:val="000000"/>
          <w:sz w:val="18"/>
        </w:rPr>
        <w:t xml:space="preserve">” shall mean the actual knowledge, after reasonable inquiry, of the individuals listed in the “Definitions” Annex of the Company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knowledge of Parent</w:t>
      </w:r>
      <w:r>
        <w:rPr>
          <w:rFonts w:ascii="Times New Roman;Times;serif" w:hAnsi="Times New Roman;Times;serif"/>
          <w:color w:val="000000"/>
          <w:sz w:val="18"/>
        </w:rPr>
        <w:t xml:space="preserve">” shall mean the actual knowledge, after reasonable inquiry, of the individuals listed in the “Definitions” Annex of the Parent Disclosure Schedule as of the date of this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Legal Proceeding</w:t>
      </w:r>
      <w:r>
        <w:rPr>
          <w:rFonts w:ascii="Times New Roman;Times;serif" w:hAnsi="Times New Roman;Times;serif"/>
          <w:color w:val="000000"/>
          <w:sz w:val="18"/>
        </w:rPr>
        <w:t xml:space="preserve">” shall mean any legal or administrative proceeding, lawsuit, arbitration, mediation, court action, or other proceeding before any court or public or private body or tribunal or other Governmental Entity.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Legal Requirement</w:t>
      </w:r>
      <w:r>
        <w:rPr>
          <w:rFonts w:ascii="Times New Roman;Times;serif" w:hAnsi="Times New Roman;Times;serif"/>
          <w:color w:val="000000"/>
          <w:sz w:val="18"/>
        </w:rPr>
        <w:t>” or “</w:t>
      </w:r>
      <w:r>
        <w:rPr>
          <w:rFonts w:ascii="Times New Roman;Times;serif" w:hAnsi="Times New Roman;Times;serif"/>
          <w:color w:val="000000"/>
          <w:sz w:val="18"/>
          <w:u w:val="single"/>
        </w:rPr>
        <w:t>Law</w:t>
      </w:r>
      <w:r>
        <w:rPr>
          <w:rFonts w:ascii="Times New Roman;Times;serif" w:hAnsi="Times New Roman;Times;serif"/>
          <w:color w:val="000000"/>
          <w:sz w:val="18"/>
        </w:rPr>
        <w:t xml:space="preserve">” shall mean any law, statute, rule or regulation adopted or promulgated by any Governmental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Lien</w:t>
      </w:r>
      <w:r>
        <w:rPr>
          <w:rFonts w:ascii="Times New Roman;Times;serif" w:hAnsi="Times New Roman;Times;serif"/>
          <w:color w:val="000000"/>
          <w:sz w:val="18"/>
        </w:rPr>
        <w:t xml:space="preserve">” shall mean, with respect to any property or asset, any mortgage, lien, pledge, charge, security interest, encumbrance or limitation on transfer (other than such a limitation arising under federal, state or foreign securities laws) in respect of such property or asset, in each case, other than licenses under or covenants not to assert Intellectual Property Rights. A Person shall be deemed to own subject to a Lien any property or asset that it has acquired or holds subject to the interest of a vendor or lessor under any conditional sale agreement, finance lease or other title retention agreement relating to such property or asset.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10-K</w:t>
      </w:r>
      <w:r>
        <w:rPr>
          <w:rFonts w:ascii="Times New Roman;Times;serif" w:hAnsi="Times New Roman;Times;serif"/>
          <w:color w:val="000000"/>
          <w:sz w:val="18"/>
        </w:rPr>
        <w:t xml:space="preserve">” shall mean the Company 10-K for the year ended June 27, 2026 (filed with the SEC on August 10, 2026).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Most Recent Company Balance Sheet</w:t>
      </w:r>
      <w:r>
        <w:rPr>
          <w:rFonts w:ascii="Times New Roman;Times;serif" w:hAnsi="Times New Roman;Times;serif"/>
          <w:color w:val="000000"/>
          <w:sz w:val="18"/>
        </w:rPr>
        <w:t xml:space="preserve">” shall mean the balance sheet of the Company as of June 27,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Most Recent Parent 10-K</w:t>
      </w:r>
      <w:r>
        <w:rPr>
          <w:rFonts w:ascii="Times New Roman;Times;serif" w:hAnsi="Times New Roman;Times;serif"/>
          <w:color w:val="000000"/>
          <w:sz w:val="18"/>
        </w:rPr>
        <w:t xml:space="preserve">” shall mean Parent’s Annual Report on Form 10-K for the year ended December 31, 2025 (filed with the SEC on February 9, 2026).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Non-Disclosure Agreement</w:t>
      </w:r>
      <w:r>
        <w:rPr>
          <w:rFonts w:ascii="Times New Roman;Times;serif" w:hAnsi="Times New Roman;Times;serif"/>
          <w:color w:val="000000"/>
          <w:sz w:val="18"/>
        </w:rPr>
        <w:t xml:space="preserve">” shall mean that certain mutual non-disclosure agreement, dated as of April 13, 2026, by and between the Company and Semiconductor Components Industries, LLC, a wholly-owned subsidiary of Parent. </w:t>
      </w:r>
    </w:p>
    <w:p>
      <w:pPr>
        <w:pStyle w:val="TextBody"/>
        <w:bidi w:val="0"/>
        <w:spacing w:before="160" w:after="283"/>
        <w:ind w:left="0" w:right="0" w:firstLine="400"/>
        <w:jc w:val="both"/>
        <w:rPr>
          <w:color w:val="000000"/>
        </w:rPr>
      </w:pPr>
      <w:r>
        <w:rPr>
          <w:color w:val="000000"/>
        </w:rPr>
        <w:t>“</w:t>
      </w:r>
      <w:r>
        <w:rPr>
          <w:rFonts w:ascii="Times New Roman;Times;serif" w:hAnsi="Times New Roman;Times;serif"/>
          <w:color w:val="000000"/>
          <w:sz w:val="18"/>
          <w:u w:val="single"/>
        </w:rPr>
        <w:t>Non-Vested MSU</w:t>
      </w:r>
      <w:r>
        <w:rPr>
          <w:rFonts w:ascii="Times New Roman;Times;serif" w:hAnsi="Times New Roman;Times;serif"/>
          <w:color w:val="000000"/>
          <w:sz w:val="18"/>
        </w:rPr>
        <w:t xml:space="preserve">” shall have the meaning given such term under the relevant granting Company Equity Agreement of each Company MSU.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OFAC</w:t>
      </w:r>
      <w:r>
        <w:rPr>
          <w:rFonts w:ascii="Times New Roman;Times;serif" w:hAnsi="Times New Roman;Times;serif"/>
          <w:color w:val="000000"/>
          <w:sz w:val="18"/>
        </w:rPr>
        <w:t xml:space="preserve">” shall mean the U.S. Department of the Treasury, Office of Foreign Assets Control.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Open Source</w:t>
      </w:r>
      <w:r>
        <w:rPr>
          <w:rFonts w:ascii="Times New Roman;Times;serif" w:hAnsi="Times New Roman;Times;serif"/>
          <w:color w:val="000000"/>
          <w:sz w:val="18"/>
        </w:rPr>
        <w:t>” shall mean any Software that is distributed as “free software,” “open source software” or under a similar licensing or distribution model (an “</w:t>
      </w:r>
      <w:r>
        <w:rPr>
          <w:rFonts w:ascii="Times New Roman;Times;serif" w:hAnsi="Times New Roman;Times;serif"/>
          <w:color w:val="000000"/>
          <w:sz w:val="18"/>
          <w:u w:val="single"/>
        </w:rPr>
        <w:t>Open Source License</w:t>
      </w:r>
      <w:r>
        <w:rPr>
          <w:rFonts w:ascii="Times New Roman;Times;serif" w:hAnsi="Times New Roman;Times;serif"/>
          <w:color w:val="000000"/>
          <w:sz w:val="18"/>
        </w:rPr>
        <w:t xml:space="preserve">”), including the GNU General Public License (GPL), GNU Lesser General Public License (LGPL), Mozilla Public License (MPL), BSD licenses, the Artistic License, the Netscape Public License, the Sun Community Source License (SCSL), the Sun Industry Standards License (SISL) and the Apache License, or any other license described by the Open Source Initiative as set forth on www.opensource.org.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Order</w:t>
      </w:r>
      <w:r>
        <w:rPr>
          <w:rFonts w:ascii="Times New Roman;Times;serif" w:hAnsi="Times New Roman;Times;serif"/>
          <w:color w:val="000000"/>
          <w:sz w:val="18"/>
        </w:rPr>
        <w:t xml:space="preserve">” shall mean any order, decision, judgment, writ, injunction, stipulation, award, or decree, issued by any Governmental Entity.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7" w:name="ny20081083x2_defm14a_300a-annexa_pg6"/>
        <w:bookmarkEnd w:id="357"/>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Organizational Documents</w:t>
      </w:r>
      <w:r>
        <w:rPr>
          <w:rFonts w:ascii="Times New Roman;Times;serif" w:hAnsi="Times New Roman;Times;serif"/>
          <w:color w:val="000000"/>
          <w:sz w:val="18"/>
        </w:rPr>
        <w:t xml:space="preserve">” shall mean, with respect to any Entity: (a) if such Entity is a corporation, such Entity’s certificate or articles of incorporation, by-laws and similar organizational documents, as amended; (b) if such Entity is a limited liability company, such Entity’s certificate or articles of formation and operating agreement, as amended; and (c) if such Entity is a limited partnership, such Entity’s certificate or articles of formation and limited partnership agreement, as amended.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Outbound Investment Rules</w:t>
      </w:r>
      <w:r>
        <w:rPr>
          <w:rFonts w:ascii="Times New Roman;Times;serif" w:hAnsi="Times New Roman;Times;serif"/>
          <w:color w:val="000000"/>
          <w:sz w:val="18"/>
        </w:rPr>
        <w:t xml:space="preserve">” shall mean Part 850 of Title 31 of the Code of Federal Regulations.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Board</w:t>
      </w:r>
      <w:r>
        <w:rPr>
          <w:rFonts w:ascii="Times New Roman;Times;serif" w:hAnsi="Times New Roman;Times;serif"/>
          <w:color w:val="000000"/>
          <w:sz w:val="18"/>
        </w:rPr>
        <w:t xml:space="preserve">” shall mean the board of directors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Common Stock</w:t>
      </w:r>
      <w:r>
        <w:rPr>
          <w:rFonts w:ascii="Times New Roman;Times;serif" w:hAnsi="Times New Roman;Times;serif"/>
          <w:color w:val="000000"/>
          <w:sz w:val="18"/>
        </w:rPr>
        <w:t xml:space="preserve">” shall mean the common stock, par value $0.01 per share, of Parent.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Employee</w:t>
      </w:r>
      <w:r>
        <w:rPr>
          <w:rFonts w:ascii="Times New Roman;Times;serif" w:hAnsi="Times New Roman;Times;serif"/>
          <w:color w:val="000000"/>
          <w:sz w:val="18"/>
        </w:rPr>
        <w:t xml:space="preserve">” shall mean any officer or any other employee (full-time or part-time) of Parent or any of its Subsidiaries.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Parent IP</w:t>
      </w:r>
      <w:r>
        <w:rPr>
          <w:rFonts w:ascii="Times New Roman;Times;serif" w:hAnsi="Times New Roman;Times;serif"/>
          <w:color w:val="000000"/>
          <w:sz w:val="18"/>
        </w:rPr>
        <w:t xml:space="preserve">” shall mean all Intellectual Property Rights owned, or purported to be owned, by Parent or any Parent Subsidiary.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Leased Real Property</w:t>
      </w:r>
      <w:r>
        <w:rPr>
          <w:rFonts w:ascii="Times New Roman;Times;serif" w:hAnsi="Times New Roman;Times;serif"/>
          <w:color w:val="000000"/>
          <w:sz w:val="18"/>
        </w:rPr>
        <w:t xml:space="preserve">” shall mean any real property that Parent or any Parent Subsidiary uses or occupies or has the right to use or occupy pursuant to any lease, sublease, license, or other use or occupancy agreement.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Material Adverse Effect</w:t>
      </w:r>
      <w:r>
        <w:rPr>
          <w:rFonts w:ascii="Times New Roman;Times;serif" w:hAnsi="Times New Roman;Times;serif"/>
          <w:color w:val="000000"/>
          <w:sz w:val="18"/>
        </w:rPr>
        <w:t xml:space="preserve">” shall mean any Effect that, individually or in the aggregate, prevents, materially delays, or materially impairs the consummation by Parent or Merger Sub of the transactions contemplated by this Agreement (including the obligation to pay the Merger Consideration); </w:t>
      </w:r>
      <w:r>
        <w:rPr>
          <w:rFonts w:ascii="Times New Roman;Times;serif" w:hAnsi="Times New Roman;Times;serif"/>
          <w:i/>
          <w:color w:val="000000"/>
          <w:sz w:val="18"/>
        </w:rPr>
        <w:t>provided, further</w:t>
      </w:r>
      <w:r>
        <w:rPr>
          <w:rFonts w:ascii="Times New Roman;Times;serif" w:hAnsi="Times New Roman;Times;serif"/>
          <w:color w:val="000000"/>
          <w:sz w:val="18"/>
        </w:rPr>
        <w:t xml:space="preserve"> that the absence or failure to obtain any consent, approval, waiver or clearance from a Governmental Authority identified in </w:t>
      </w:r>
      <w:r>
        <w:rPr>
          <w:rFonts w:ascii="Times New Roman;Times;serif" w:hAnsi="Times New Roman;Times;serif"/>
          <w:color w:val="000000"/>
          <w:sz w:val="18"/>
          <w:u w:val="single"/>
        </w:rPr>
        <w:t>Section 5.1(b)</w:t>
      </w:r>
      <w:r>
        <w:rPr>
          <w:rFonts w:ascii="Times New Roman;Times;serif" w:hAnsi="Times New Roman;Times;serif"/>
          <w:color w:val="000000"/>
          <w:sz w:val="18"/>
        </w:rPr>
        <w:t xml:space="preserve"> of the Parent Disclosure Schedule or otherwise required in connection with </w:t>
      </w:r>
      <w:r>
        <w:rPr>
          <w:rFonts w:ascii="Times New Roman;Times;serif" w:hAnsi="Times New Roman;Times;serif"/>
          <w:color w:val="000000"/>
          <w:sz w:val="18"/>
          <w:u w:val="single"/>
        </w:rPr>
        <w:t>Section 4.6</w:t>
      </w:r>
      <w:r>
        <w:rPr>
          <w:rFonts w:ascii="Times New Roman;Times;serif" w:hAnsi="Times New Roman;Times;serif"/>
          <w:color w:val="000000"/>
          <w:sz w:val="18"/>
        </w:rPr>
        <w:t xml:space="preserve"> shall not in and of itself be a Parent Material Adverse Effect (</w:t>
      </w:r>
      <w:r>
        <w:rPr>
          <w:rFonts w:ascii="Times New Roman;Times;serif" w:hAnsi="Times New Roman;Times;serif"/>
          <w:i/>
          <w:color w:val="000000"/>
          <w:sz w:val="18"/>
        </w:rPr>
        <w:t>provided</w:t>
      </w:r>
      <w:r>
        <w:rPr>
          <w:rFonts w:ascii="Times New Roman;Times;serif" w:hAnsi="Times New Roman;Times;serif"/>
          <w:color w:val="000000"/>
          <w:sz w:val="18"/>
        </w:rPr>
        <w:t xml:space="preserve"> that the exception in this proviso shall not apply for purposes of the representations and warranties in </w:t>
      </w:r>
      <w:r>
        <w:rPr>
          <w:rFonts w:ascii="Times New Roman;Times;serif" w:hAnsi="Times New Roman;Times;serif"/>
          <w:color w:val="000000"/>
          <w:sz w:val="18"/>
          <w:u w:val="single"/>
        </w:rPr>
        <w:t>Section 3.3(b)</w:t>
      </w:r>
      <w:r>
        <w:rPr>
          <w:rFonts w:ascii="Times New Roman;Times;serif" w:hAnsi="Times New Roman;Times;serif"/>
          <w:color w:val="000000"/>
          <w:sz w:val="18"/>
        </w:rPr>
        <w:t xml:space="preserve">, or to </w:t>
      </w:r>
      <w:r>
        <w:rPr>
          <w:rFonts w:ascii="Times New Roman;Times;serif" w:hAnsi="Times New Roman;Times;serif"/>
          <w:color w:val="000000"/>
          <w:sz w:val="18"/>
          <w:u w:val="single"/>
        </w:rPr>
        <w:t>Section 5.3(a)</w:t>
      </w:r>
      <w:r>
        <w:rPr>
          <w:rFonts w:ascii="Times New Roman;Times;serif" w:hAnsi="Times New Roman;Times;serif"/>
          <w:color w:val="000000"/>
          <w:sz w:val="18"/>
        </w:rPr>
        <w:t xml:space="preserve"> or </w:t>
      </w:r>
      <w:r>
        <w:rPr>
          <w:rFonts w:ascii="Times New Roman;Times;serif" w:hAnsi="Times New Roman;Times;serif"/>
          <w:color w:val="000000"/>
          <w:sz w:val="18"/>
          <w:u w:val="single"/>
        </w:rPr>
        <w:t>Section 6.1(h)</w:t>
      </w:r>
      <w:r>
        <w:rPr>
          <w:rFonts w:ascii="Times New Roman;Times;serif" w:hAnsi="Times New Roman;Times;serif"/>
          <w:color w:val="000000"/>
          <w:sz w:val="18"/>
        </w:rPr>
        <w:t xml:space="preserve"> to the extent related to such portions of such representations and warranties.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Permitted Encumbrances</w:t>
      </w:r>
      <w:r>
        <w:rPr>
          <w:rFonts w:ascii="Times New Roman;Times;serif" w:hAnsi="Times New Roman;Times;serif"/>
          <w:color w:val="000000"/>
          <w:sz w:val="18"/>
        </w:rPr>
        <w:t xml:space="preserve">” shall mean: (a) Liens for Taxes or governmental assessments, charges or claims of payment not yet due and payable or which are being contested in good faith by appropriate proceedings, in each case for which adequate reserves have been established and maintained in accordance with GAAP; (b) vendors’, mechanics’, materialmen’s, carriers’, workers’, construction and other similar Liens arising or incurred in the ordinary course of business that are not yet due and payable or are being contested in good faith by appropriate proceedings and for which adequate reserves have been established and maintained in accordance with GAAP; (c) Liens, pledges or encumbrances arising from or otherwise relating to transfer restrictions under the securities laws of any jurisdiction; (d) non-exclusive licenses, immunities from suit, or covenants not to assert granted under or with respect to any Intellectual Property Rights; (e) Liens, encumbrances or imperfections of title which do not and would not reasonably be expected to, individually or in the aggregate, materially impair the use of the subject property as used by Parent and Parent’s Subsidiaries; (f) pledges or deposits arising in the ordinary course of business to secure obligations under workers’ compensation laws or similar legislation or to secure public or statutory obligations; (g) with respect to any Parent Leased Real Property, Liens affecting the interest of the owner of the real property that is the subject of such applicable Parent Leased Real Property; (h) Liens arising under any Parent indentures or the Parent’s existing credit facility (or any replacement or refinancing thereof in accordance with this Agreement); and (i) pledges, deposits or other Liens securing the performance of bids, trade contracts (other than contracts in respect of indebtedness), leases, surety and appeal bonds, performance bonds and other obligations of a similar nature, in each case in the ordinary course of business.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Plan</w:t>
      </w:r>
      <w:r>
        <w:rPr>
          <w:rFonts w:ascii="Times New Roman;Times;serif" w:hAnsi="Times New Roman;Times;serif"/>
          <w:color w:val="000000"/>
          <w:sz w:val="18"/>
        </w:rPr>
        <w:t xml:space="preserve">” shall mean each compensation or benefit plan, program, scheme, policy, practice, contract, agreement or other arrangement, including, without limitation, any “employee benefit plan” (within the meaning of Section 3(3) of ERISA, whether or not subject to ERISA) and each other employment, incentive, bonus, deferred compensation, equity, equity-based, medical, dental, vision, profit-sharing, insurance, indemnity, employee counseling, employee assistance, unemployment compensation, welfare, wellness, legal services, retirement, supplemental retirement, retention, termination, pension, severance, transaction bonus, change in control, employee loan, paid time-off, stock purchase, stock bonus, stock option, stock appreciation rights, stock-based rights, fringe benefit, or other employee benefit plan, scheme, policy, practice, contract, agreement, program or other arrangement, whether or not in writing and whether or not funded, in each case, which Parent or any Parent Subsidiary sponsors, maintains, or contributes to for the benefit of its employees, consultants or directors; </w:t>
      </w:r>
      <w:r>
        <w:rPr>
          <w:rFonts w:ascii="Times New Roman;Times;serif" w:hAnsi="Times New Roman;Times;serif"/>
          <w:i/>
          <w:color w:val="000000"/>
          <w:sz w:val="18"/>
        </w:rPr>
        <w:t xml:space="preserve">provided </w:t>
      </w:r>
      <w:r>
        <w:rPr>
          <w:rFonts w:ascii="Times New Roman;Times;serif" w:hAnsi="Times New Roman;Times;serif"/>
          <w:color w:val="000000"/>
          <w:sz w:val="18"/>
        </w:rPr>
        <w:t xml:space="preserve">that any governmental plan or program requiring the mandatory payment of social insurance taxes or similar contributions to a governmental fund with respect to the wages of an employee will not be considered a “Parent Plan”.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RSUs</w:t>
      </w:r>
      <w:r>
        <w:rPr>
          <w:rFonts w:ascii="Times New Roman;Times;serif" w:hAnsi="Times New Roman;Times;serif"/>
          <w:color w:val="000000"/>
          <w:sz w:val="18"/>
        </w:rPr>
        <w:t xml:space="preserve">” shall mean restricted stock units representing the right to vest in and be issued shares of Parent Common Stock by Parent that are subject to vesting restrictions based on continuing service or based on performance.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Parent SEC Documents</w:t>
      </w:r>
      <w:r>
        <w:rPr>
          <w:rFonts w:ascii="Times New Roman;Times;serif" w:hAnsi="Times New Roman;Times;serif"/>
          <w:color w:val="000000"/>
          <w:sz w:val="18"/>
        </w:rPr>
        <w:t xml:space="preserve">” shall mean all reports, schedules, forms, statements and other documents (including exhibits and all other information incorporated by reference therein) required to be filed or furnished by Parent with the SEC under the Exchange Act or Securities Act.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Parent Subsidiary</w:t>
      </w:r>
      <w:r>
        <w:rPr>
          <w:rFonts w:ascii="Times New Roman;Times;serif" w:hAnsi="Times New Roman;Times;serif"/>
          <w:color w:val="000000"/>
          <w:sz w:val="18"/>
        </w:rPr>
        <w:t xml:space="preserve">” shall mean any direct or indirect Subsidiary of Parent.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Person</w:t>
      </w:r>
      <w:r>
        <w:rPr>
          <w:rFonts w:ascii="Times New Roman;Times;serif" w:hAnsi="Times New Roman;Times;serif"/>
          <w:color w:val="000000"/>
          <w:sz w:val="18"/>
        </w:rPr>
        <w:t xml:space="preserve">” shall mean any individual or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Personal Data</w:t>
      </w:r>
      <w:r>
        <w:rPr>
          <w:rFonts w:ascii="Times New Roman;Times;serif" w:hAnsi="Times New Roman;Times;serif"/>
          <w:color w:val="000000"/>
          <w:sz w:val="18"/>
        </w:rPr>
        <w:t xml:space="preserve">” shall mean any information about an identifiable natural person that alone or in combination with other information identifies, or could be used to identify, a natural person, and includes a name, an identification number, location data, an online identifier or one or more factors specific to the physical, physiological, genetic, mental, economic, cultural or social identity of that natural person, and any information that is defined as “personal data,” “personally identifiable information,” “individually identifiable health information,” “protected health information” or “personal information” under any applicable data protection Legal Requirement.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A-A-6</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8" w:name="ny20081083x2_defm14a_300a-annexa_pg7"/>
        <w:bookmarkEnd w:id="358"/>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Privacy Laws</w:t>
      </w:r>
      <w:r>
        <w:rPr>
          <w:rFonts w:ascii="Times New Roman;Times;serif" w:hAnsi="Times New Roman;Times;serif"/>
          <w:color w:val="000000"/>
          <w:sz w:val="18"/>
        </w:rPr>
        <w:t xml:space="preserve">” shall mean each Legal Requirement applicable to Personal Data and/or direct marketing and advertising, profiling and tracking, email, messaging and/or telemarketing, including, but not limited to, the General Data Protection Regulation (EU) 2016/679, the Data Protection Act 2018 (UK), the California Consumer Protection Act of 2018, and as amended, and the Payment Card Industry Data Security Standard.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Payment</w:t>
      </w:r>
      <w:r>
        <w:rPr>
          <w:rFonts w:ascii="Times New Roman;Times;serif" w:hAnsi="Times New Roman;Times;serif"/>
          <w:color w:val="000000"/>
          <w:sz w:val="18"/>
        </w:rPr>
        <w:t xml:space="preserve">” shall mean (a) the use of any corporate funds, directly or indirectly, for any unlawful contributions, gifts, entertainment, or other unlawful expenses relating to any political activity; or (b) making, offering to make, promising to make or otherwise authorizing the payment or giving of, directly or indirectly, any bribe, rebate, payoff, influence payment, kickback, or any other payment or gift of money or anything of value to any officer, employee or ceremonial office holder of any government or instrumentality thereof, any political party or supranational organization, or to any other Person in violation of applicable Anti-Corruption Laws or Anti-Money Laundering Laws.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Prohibited Person</w:t>
      </w:r>
      <w:r>
        <w:rPr>
          <w:rFonts w:ascii="Times New Roman;Times;serif" w:hAnsi="Times New Roman;Times;serif"/>
          <w:color w:val="000000"/>
          <w:sz w:val="18"/>
        </w:rPr>
        <w:t>” shall mean any Person that is the target of Sanctions Laws, including (a) a Person that has been determined by a competent authority to be the subject of a prohibition on such conduct of any law, regulation, rule or executive order administered by OFAC; (b) the government, including any political subdivision, agency or instrumentality thereof, of any country against which the United States maintains comprehensive economic sanctions or embargoes (currently Iran, Cuba, North Korea, and the Crimea, Donetsk People’s Republic, and Luhansk People’s Republic regions of Ukraine, collectively “</w:t>
      </w:r>
      <w:r>
        <w:rPr>
          <w:rFonts w:ascii="Times New Roman;Times;serif" w:hAnsi="Times New Roman;Times;serif"/>
          <w:color w:val="000000"/>
          <w:sz w:val="18"/>
          <w:u w:val="single"/>
        </w:rPr>
        <w:t>Sanctioned Territories</w:t>
      </w:r>
      <w:r>
        <w:rPr>
          <w:rFonts w:ascii="Times New Roman;Times;serif" w:hAnsi="Times New Roman;Times;serif"/>
          <w:color w:val="000000"/>
          <w:sz w:val="18"/>
        </w:rPr>
        <w:t xml:space="preserve">”); (c) any Person that is owned or controlled by a government of a Sanctioned Territory; (d) any Person organized or resident in a Sanctioned Territory; (e) any Person that has been identified on the OFAC Specially Designated Nationals and Blocked Persons List (Appendix A to 31 C.F.R. </w:t>
      </w:r>
      <w:r>
        <w:rPr>
          <w:rFonts w:ascii="Times New Roman;Times;serif" w:hAnsi="Times New Roman;Times;serif"/>
          <w:color w:val="000000"/>
          <w:sz w:val="18"/>
          <w:u w:val="single"/>
        </w:rPr>
        <w:t>Ch. V</w:t>
      </w:r>
      <w:r>
        <w:rPr>
          <w:rFonts w:ascii="Times New Roman;Times;serif" w:hAnsi="Times New Roman;Times;serif"/>
          <w:color w:val="000000"/>
          <w:sz w:val="18"/>
        </w:rPr>
        <w:t xml:space="preserve">), as amended from time to time, or fifty percent (50%) or more of which is owned, directly or indirectly, by any such Person or Persons, or, where relevant under applicable Sanctions Laws, controlled by any such Person or Persons or acting for or on behalf of such Person or Persons; or (f) any Person that has been designated on any similar restricted party list or Order published by a Governmental Entity in the United States.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Proxy Statement</w:t>
      </w:r>
      <w:r>
        <w:rPr>
          <w:rFonts w:ascii="Times New Roman;Times;serif" w:hAnsi="Times New Roman;Times;serif"/>
          <w:color w:val="000000"/>
          <w:sz w:val="18"/>
        </w:rPr>
        <w:t xml:space="preserve">” shall mean the proxy statement or Schedule 14A filing under the Exchange Act relating to the adoption and approval of this Agreement to be sent to the Company’s stockholders in connection with the Company Stockholder Meeting.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Registered IP</w:t>
      </w:r>
      <w:r>
        <w:rPr>
          <w:rFonts w:ascii="Times New Roman;Times;serif" w:hAnsi="Times New Roman;Times;serif"/>
          <w:color w:val="000000"/>
          <w:sz w:val="18"/>
        </w:rPr>
        <w:t xml:space="preserve">” shall mean all U.S., international or foreign (a) issued Patents and Patent applications, (b) registered Marks and applications to register Marks, (c) registered Copyrights and applications for Copyright registration, (d) registered Mask Work Rights and applications to register Mask Work Rights, (e) domain name registrations and (f) all other Intellectual Property Rights that are registered with, issued by or applied for by or with any Governmental Entity or other public or quasi-public legal authority (including domain name registrars), but excluding in each case, any such items that are abandoned, expired, withdrawn, or refused.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Regulatory Termination Fee</w:t>
      </w:r>
      <w:r>
        <w:rPr>
          <w:rFonts w:ascii="Times New Roman;Times;serif" w:hAnsi="Times New Roman;Times;serif"/>
          <w:color w:val="000000"/>
          <w:sz w:val="18"/>
        </w:rPr>
        <w:t xml:space="preserve">” shall mean an amount in cash equal to Three Hundred Twenty Million dollars ($320,000,000).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Representatives</w:t>
      </w:r>
      <w:r>
        <w:rPr>
          <w:rFonts w:ascii="Times New Roman;Times;serif" w:hAnsi="Times New Roman;Times;serif"/>
          <w:color w:val="000000"/>
          <w:sz w:val="18"/>
        </w:rPr>
        <w:t xml:space="preserve">” shall mean, with respect to a Person, all of the officers, directors, employees, consultants, legal representatives, agents, advisors, auditors, investment bankers, Affiliates and other representatives of such Person.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Sanctions Laws</w:t>
      </w:r>
      <w:r>
        <w:rPr>
          <w:rFonts w:ascii="Times New Roman;Times;serif" w:hAnsi="Times New Roman;Times;serif"/>
          <w:color w:val="000000"/>
          <w:sz w:val="18"/>
        </w:rPr>
        <w:t xml:space="preserve">” shall mean applicable economic or financial sanctions or trade embargoes imposed, administered, or enforced by relevant Governmental Entities, including those administered by OFAC or the U.S. Department of State, the European Union or its Member States, or His Majesty’s Treasury of the United Kingdom.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w:t>
      </w:r>
      <w:r>
        <w:rPr>
          <w:rFonts w:ascii="Times New Roman;Times;serif" w:hAnsi="Times New Roman;Times;serif"/>
          <w:color w:val="000000"/>
          <w:sz w:val="18"/>
        </w:rPr>
        <w:t xml:space="preserve">” shall mean the United States Securities and Exchange Commission.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Securities Act</w:t>
      </w:r>
      <w:r>
        <w:rPr>
          <w:rFonts w:ascii="Times New Roman;Times;serif" w:hAnsi="Times New Roman;Times;serif"/>
          <w:color w:val="000000"/>
          <w:sz w:val="18"/>
        </w:rPr>
        <w:t xml:space="preserve">” shall mean the Securities Act of 1933, as amended. </w:t>
      </w:r>
    </w:p>
    <w:p>
      <w:pPr>
        <w:pStyle w:val="TextBody"/>
        <w:bidi w:val="0"/>
        <w:spacing w:before="160" w:after="283"/>
        <w:ind w:left="0" w:right="0" w:firstLine="400"/>
        <w:jc w:val="left"/>
        <w:rPr>
          <w:color w:val="000000"/>
        </w:rPr>
      </w:pPr>
      <w:r>
        <w:rPr>
          <w:color w:val="000000"/>
        </w:rPr>
        <w:t>“</w:t>
      </w:r>
      <w:r>
        <w:rPr>
          <w:rFonts w:ascii="Times New Roman;Times;serif" w:hAnsi="Times New Roman;Times;serif"/>
          <w:color w:val="000000"/>
          <w:sz w:val="18"/>
          <w:u w:val="single"/>
        </w:rPr>
        <w:t>Significant Parent Subsidiary</w:t>
      </w:r>
      <w:r>
        <w:rPr>
          <w:rFonts w:ascii="Times New Roman;Times;serif" w:hAnsi="Times New Roman;Times;serif"/>
          <w:color w:val="000000"/>
          <w:sz w:val="18"/>
        </w:rPr>
        <w:t xml:space="preserve">“ shall mean those Parent Subsidiaries set forth on Exhibit 21.1 of the Most Recent Parent 10-K.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Software</w:t>
      </w:r>
      <w:r>
        <w:rPr>
          <w:rFonts w:ascii="Times New Roman;Times;serif" w:hAnsi="Times New Roman;Times;serif"/>
          <w:color w:val="000000"/>
          <w:sz w:val="18"/>
        </w:rPr>
        <w:t xml:space="preserve">” shall mean any computer software, programs and databases in any applicable form, including object code, source code, firmware and embedded versions thereof, tools, assemblers, applets, compilers, application programming interfaces, developers kits, utilities, bitstreams, graphical user interfaces, menus, images, icons, and forms, and all versions, updates, corrections, enhancements and modifications thereof, and all related documentation, developer notes, comments and annotations related thereto.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Subsidiary</w:t>
      </w:r>
      <w:r>
        <w:rPr>
          <w:rFonts w:ascii="Times New Roman;Times;serif" w:hAnsi="Times New Roman;Times;serif"/>
          <w:color w:val="000000"/>
          <w:sz w:val="18"/>
        </w:rPr>
        <w:t xml:space="preserve">“ shall mean any Entity of another Person if such other Person directly or indirectly owns, beneficially or of record: (a) an amount of voting securities or other interests in such Entity that is sufficient to enable such Person to elect at least a majority of the members of such Entity’s board of directors or comparable governing body; or (b) at least fifty percent (50%) of the outstanding voting equity interests issued by such Entity.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 Returns</w:t>
      </w:r>
      <w:r>
        <w:rPr>
          <w:rFonts w:ascii="Times New Roman;Times;serif" w:hAnsi="Times New Roman;Times;serif"/>
          <w:color w:val="000000"/>
          <w:sz w:val="18"/>
        </w:rPr>
        <w:t xml:space="preserve">” shall mean any and all returns, reports, elections, claims for refund, estimated Tax filings, declarations, certificates or other documents filed or required to be filed with any Governmental Entity with respect to Taxes, including any schedules or attachments thereto, and any amendments thereof.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Taxes</w:t>
      </w:r>
      <w:r>
        <w:rPr>
          <w:rFonts w:ascii="Times New Roman;Times;serif" w:hAnsi="Times New Roman;Times;serif"/>
          <w:color w:val="000000"/>
          <w:sz w:val="18"/>
        </w:rPr>
        <w:t xml:space="preserve">” shall mean any and all U.S. federal, state, local and non-U.S. taxes, assessments, levies, duties, tariffs, imposts and other similar charges and fees imposed by any Governmental Entity, including, without limitation, any income, franchise, windfall or other profits, gross receipts, premiums, property, sales, use, net worth, capital stock, payroll, employment, social security, workers’ compensation, unemployment compensation, excise, withholding, ad valorem, stamp, transfer, value-added, and license, registration and documentation fees, severance, occupation, environmental, disability, real property, personal property, registration, alternative or add-on minimum, escheat, or estimated tax, and including any interest, penalty, additions to tax and any additional amounts imposed with respect thereto, whether disputed or not.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Technology</w:t>
      </w:r>
      <w:r>
        <w:rPr>
          <w:rFonts w:ascii="Times New Roman;Times;serif" w:hAnsi="Times New Roman;Times;serif"/>
          <w:color w:val="000000"/>
          <w:sz w:val="18"/>
        </w:rPr>
        <w:t xml:space="preserve">” shall mean tangible embodiments of Intellectual Property Rights, including know-how, trade secrets and other proprietary information contained with, protecting, covering or relating to mask sets, wafers, products, development tools, algorithms, APIs, databases, data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A-A-7</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59" w:name="ny20081083x2_defm14a_300a-annexa_pg8"/>
        <w:bookmarkEnd w:id="359"/>
        <w:r>
          <w:rPr>
            <w:rStyle w:val="InternetLink"/>
            <w:rFonts w:ascii="Times New Roman;Times;Serif" w:hAnsi="Times New Roman;Times;Serif"/>
            <w:b/>
            <w:caps w:val="false"/>
            <w:smallCaps w:val="false"/>
            <w:color w:val="000000"/>
            <w:sz w:val="16"/>
          </w:rPr>
          <w:t>TABLE OF CONTENTS</w:t>
        </w:r>
      </w:hyperlink>
    </w:p>
    <w:p>
      <w:pPr>
        <w:pStyle w:val="TextBody"/>
        <w:bidi w:val="0"/>
        <w:spacing w:before="120" w:after="283"/>
        <w:ind w:left="0" w:right="0" w:hanging="0"/>
        <w:jc w:val="both"/>
        <w:rPr>
          <w:rFonts w:ascii="Times New Roman;Times;serif" w:hAnsi="Times New Roman;Times;serif"/>
          <w:color w:val="000000"/>
          <w:sz w:val="18"/>
        </w:rPr>
      </w:pPr>
      <w:r>
        <w:rPr>
          <w:rFonts w:ascii="Times New Roman;Times;serif" w:hAnsi="Times New Roman;Times;serif"/>
          <w:color w:val="000000"/>
          <w:sz w:val="18"/>
        </w:rPr>
        <w:t xml:space="preserve">collections, Internet web sites, web content and links, diagrams, inventions, methods and processes (whether or not patentable), assembly designs, assembly methods, network configurations and architectures, proprietary information, protocols, layout rules, schematics, packaging and other specifications, Software (in any form, including source code, executable code, firmware, hardware configuration data, Verilog files, RTL code, Gerber files and GDSII files), concepts, techniques, test methods, interfaces, verification tools, technical documentation (including instruction manuals, samples, studies and summaries), annotations, comments, files, records, designs, bills of material, build instructions, test automation, test reports, performance data, optical quality data, routines, formulae, layout designs, topographies, blocks, libraries, circuit designs, test vectors, IP cores, net lists, emulation and simulation tools and reports, lab notebooks, invention disclosures, discoveries, improvements, prototypes, samples, studies, process flow, process module data, yield data, reliability data, engineering data, test results and all other forms of technical information and technology. Technology does not include Intellectual Property Rights, including any Intellectual Property Rights in any of the foregoing. </w:t>
      </w:r>
    </w:p>
    <w:p>
      <w:pPr>
        <w:pStyle w:val="TextBody"/>
        <w:bidi w:val="0"/>
        <w:spacing w:before="170" w:after="283"/>
        <w:ind w:left="0" w:right="0" w:firstLine="400"/>
        <w:jc w:val="left"/>
        <w:rPr>
          <w:color w:val="000000"/>
        </w:rPr>
      </w:pPr>
      <w:r>
        <w:rPr>
          <w:color w:val="000000"/>
        </w:rPr>
        <w:t>“</w:t>
      </w:r>
      <w:r>
        <w:rPr>
          <w:rFonts w:ascii="Times New Roman;Times;serif" w:hAnsi="Times New Roman;Times;serif"/>
          <w:color w:val="000000"/>
          <w:sz w:val="18"/>
          <w:u w:val="single"/>
        </w:rPr>
        <w:t>Trading Day</w:t>
      </w:r>
      <w:r>
        <w:rPr>
          <w:rFonts w:ascii="Times New Roman;Times;serif" w:hAnsi="Times New Roman;Times;serif"/>
          <w:color w:val="000000"/>
          <w:sz w:val="18"/>
        </w:rPr>
        <w:t xml:space="preserve">” shall mean a day on which shares of Parent Common Stock are traded on Nasdaq. </w:t>
      </w:r>
    </w:p>
    <w:p>
      <w:pPr>
        <w:pStyle w:val="TextBody"/>
        <w:bidi w:val="0"/>
        <w:spacing w:before="120" w:after="283"/>
        <w:ind w:left="0" w:right="0" w:firstLine="400"/>
        <w:jc w:val="both"/>
        <w:rPr>
          <w:color w:val="000000"/>
        </w:rPr>
      </w:pPr>
      <w:r>
        <w:rPr>
          <w:color w:val="000000"/>
        </w:rPr>
        <w:t>“</w:t>
      </w:r>
      <w:r>
        <w:rPr>
          <w:rFonts w:ascii="Times New Roman;Times;serif" w:hAnsi="Times New Roman;Times;serif"/>
          <w:color w:val="000000"/>
          <w:sz w:val="18"/>
          <w:u w:val="single"/>
        </w:rPr>
        <w:t>Treasury Regulations</w:t>
      </w:r>
      <w:r>
        <w:rPr>
          <w:rFonts w:ascii="Times New Roman;Times;serif" w:hAnsi="Times New Roman;Times;serif"/>
          <w:color w:val="000000"/>
          <w:sz w:val="18"/>
        </w:rPr>
        <w:t xml:space="preserve">” shall mean the regulations prescribed under the Code (including any temporary regulations, amended or successor provisions with respect to such regulations). </w:t>
      </w:r>
    </w:p>
    <w:p>
      <w:pPr>
        <w:pStyle w:val="TextBody"/>
        <w:bidi w:val="0"/>
        <w:spacing w:before="189" w:after="283"/>
        <w:ind w:left="600" w:right="0" w:hanging="0"/>
        <w:jc w:val="center"/>
        <w:rPr>
          <w:rFonts w:ascii="Times New Roman;Times;serif" w:hAnsi="Times New Roman;Times;serif"/>
          <w:color w:val="000000"/>
          <w:sz w:val="20"/>
        </w:rPr>
      </w:pPr>
      <w:r>
        <w:rPr>
          <w:rFonts w:ascii="Times New Roman;Times;serif" w:hAnsi="Times New Roman;Times;serif"/>
          <w:color w:val="000000"/>
          <w:sz w:val="20"/>
        </w:rPr>
        <w:t>A-A-8</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0" w:name="ny20081083x2_defm14a_300b-annexa_pg1"/>
        <w:bookmarkEnd w:id="36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rFonts w:ascii="Times New Roman;Times;serif" w:hAnsi="Times New Roman;Times;serif"/>
          <w:b/>
          <w:color w:val="000000"/>
          <w:sz w:val="20"/>
        </w:rPr>
      </w:pPr>
      <w:r>
        <w:rPr>
          <w:rFonts w:ascii="Times New Roman;Times;serif" w:hAnsi="Times New Roman;Times;serif"/>
          <w:b/>
          <w:color w:val="000000"/>
          <w:sz w:val="20"/>
        </w:rPr>
        <w:t>ADDITIONAL DEFINED TERMS INDEX</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A-A-ix</w:t>
      </w:r>
      <w:r>
        <mc:AlternateContent>
          <mc:Choice Requires="wps">
            <w:drawing>
              <wp:anchor behindDoc="0" distT="0" distB="0" distL="0" distR="0" simplePos="0" locked="0" layoutInCell="1" allowOverlap="1" relativeHeight="8">
                <wp:simplePos x="0" y="0"/>
                <wp:positionH relativeFrom="column">
                  <wp:align>left</wp:align>
                </wp:positionH>
                <wp:positionV relativeFrom="line">
                  <wp:posOffset>635</wp:posOffset>
                </wp:positionV>
                <wp:extent cx="2895600" cy="9972040"/>
                <wp:effectExtent l="0" t="0" r="0" b="0"/>
                <wp:wrapSquare wrapText="right"/>
                <wp:docPr id="7" name="Frame1"/>
                <a:graphic xmlns:a="http://schemas.openxmlformats.org/drawingml/2006/main">
                  <a:graphicData uri="http://schemas.microsoft.com/office/word/2010/wordprocessingShape">
                    <wps:wsp>
                      <wps:cNvSpPr txBox="1"/>
                      <wps:spPr>
                        <a:xfrm>
                          <a:off x="0" y="0"/>
                          <a:ext cx="2895600" cy="9972040"/>
                        </a:xfrm>
                        <a:prstGeom prst="rect"/>
                        <a:solidFill>
                          <a:srgbClr val="FFFFFF"/>
                        </a:solidFill>
                      </wps:spPr>
                      <wps:txbx>
                        <w:txbxContent>
                          <w:tbl>
                            <w:tblPr>
                              <w:tblW w:w="3965" w:type="dxa"/>
                              <w:jc w:val="left"/>
                              <w:tblInd w:w="0" w:type="dxa"/>
                              <w:tblLayout w:type="fixed"/>
                              <w:tblCellMar>
                                <w:top w:w="0" w:type="dxa"/>
                                <w:left w:w="0" w:type="dxa"/>
                                <w:bottom w:w="0" w:type="dxa"/>
                                <w:right w:w="0" w:type="dxa"/>
                              </w:tblCellMar>
                            </w:tblPr>
                            <w:tblGrid>
                              <w:gridCol w:w="3200"/>
                              <w:gridCol w:w="140"/>
                              <w:gridCol w:w="140"/>
                              <w:gridCol w:w="485"/>
                            </w:tblGrid>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Capped Call Dealers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Committed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CapEx Budget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PSU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Foreign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IT Systems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Returns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Superior Proposal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Payoff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Termination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8pt;height:785.2pt;mso-wrap-distance-left:0pt;mso-wrap-distance-right:0pt;mso-wrap-distance-top:0pt;mso-wrap-distance-bottom:0pt;margin-top:0pt;mso-position-vertical:top;mso-position-vertical-relative:text;margin-left:0pt;mso-position-horizontal:left;mso-position-horizontal-relative:text">
                <v:textbox>
                  <w:txbxContent>
                    <w:tbl>
                      <w:tblPr>
                        <w:tblW w:w="3965" w:type="dxa"/>
                        <w:jc w:val="left"/>
                        <w:tblInd w:w="0" w:type="dxa"/>
                        <w:tblLayout w:type="fixed"/>
                        <w:tblCellMar>
                          <w:top w:w="0" w:type="dxa"/>
                          <w:left w:w="0" w:type="dxa"/>
                          <w:bottom w:w="0" w:type="dxa"/>
                          <w:right w:w="0" w:type="dxa"/>
                        </w:tblCellMar>
                      </w:tblPr>
                      <w:tblGrid>
                        <w:gridCol w:w="3200"/>
                        <w:gridCol w:w="140"/>
                        <w:gridCol w:w="140"/>
                        <w:gridCol w:w="485"/>
                      </w:tblGrid>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Alternative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Cancelled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Capped Call Dealers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Certificate of Merger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Closing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Committed Financing</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401(k) Plan</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PSU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 Payment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Accelerated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Board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Book-Entry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CapEx Budget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Capitalization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Change in Recommendation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MSU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PSU</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Converted RSU</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Disclosure Schedule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ESPP Rights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 Opinion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Financial Advisor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Foreign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Intervening Event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IT Systems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Leased Real Property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Material Contract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Permits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15</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Real Property Leases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Registered IP</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10</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Returns</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16</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SEC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 Certificate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Stockholder Meeting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28</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 Superior Proposal Notice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29</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Company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Continuing Employee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Payoff Amount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Credit Facility Termination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D&amp;O Policy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20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r>
        <mc:AlternateContent>
          <mc:Choice Requires="wps">
            <w:drawing>
              <wp:anchor behindDoc="0" distT="0" distB="0" distL="152400" distR="0" simplePos="0" locked="0" layoutInCell="1" allowOverlap="1" relativeHeight="14">
                <wp:simplePos x="0" y="0"/>
                <wp:positionH relativeFrom="column">
                  <wp:align>left</wp:align>
                </wp:positionH>
                <wp:positionV relativeFrom="line">
                  <wp:posOffset>635</wp:posOffset>
                </wp:positionV>
                <wp:extent cx="2895600" cy="9972040"/>
                <wp:effectExtent l="0" t="0" r="0" b="0"/>
                <wp:wrapSquare wrapText="right"/>
                <wp:docPr id="8" name="Frame2"/>
                <a:graphic xmlns:a="http://schemas.openxmlformats.org/drawingml/2006/main">
                  <a:graphicData uri="http://schemas.microsoft.com/office/word/2010/wordprocessingShape">
                    <wps:wsp>
                      <wps:cNvSpPr txBox="1"/>
                      <wps:spPr>
                        <a:xfrm>
                          <a:off x="0" y="0"/>
                          <a:ext cx="2895600" cy="9972040"/>
                        </a:xfrm>
                        <a:prstGeom prst="rect"/>
                        <a:solidFill>
                          <a:srgbClr val="FFFFFF"/>
                        </a:solidFill>
                      </wps:spPr>
                      <wps:txbx>
                        <w:txbxContent>
                          <w:tbl>
                            <w:tblPr>
                              <w:tblW w:w="4535" w:type="dxa"/>
                              <w:jc w:val="left"/>
                              <w:tblInd w:w="0" w:type="dxa"/>
                              <w:tblLayout w:type="fixed"/>
                              <w:tblCellMar>
                                <w:top w:w="0" w:type="dxa"/>
                                <w:left w:w="0" w:type="dxa"/>
                                <w:bottom w:w="0" w:type="dxa"/>
                                <w:right w:w="0" w:type="dxa"/>
                              </w:tblCellMar>
                            </w:tblPr>
                            <w:tblGrid>
                              <w:gridCol w:w="3770"/>
                              <w:gridCol w:w="140"/>
                              <w:gridCol w:w="140"/>
                              <w:gridCol w:w="485"/>
                            </w:tblGrid>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Default Settlement Method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Financing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Indemnity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Related Proceeding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Harmful 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and material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Agreement Representations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Non-Budgeted Company Capital Expenditure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Original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Company Debt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Remedies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Relevant 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Company Stockholder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Company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Trading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8pt;height:785.2pt;mso-wrap-distance-left:12pt;mso-wrap-distance-right:0pt;mso-wrap-distance-top:0pt;mso-wrap-distance-bottom:0pt;margin-top:0pt;mso-position-vertical:top;mso-position-vertical-relative:text;margin-left:240pt;mso-position-horizontal:left;mso-position-horizontal-relative:text">
                <v:textbox>
                  <w:txbxContent>
                    <w:tbl>
                      <w:tblPr>
                        <w:tblW w:w="4535" w:type="dxa"/>
                        <w:jc w:val="left"/>
                        <w:tblInd w:w="0" w:type="dxa"/>
                        <w:tblLayout w:type="fixed"/>
                        <w:tblCellMar>
                          <w:top w:w="0" w:type="dxa"/>
                          <w:left w:w="0" w:type="dxa"/>
                          <w:bottom w:w="0" w:type="dxa"/>
                          <w:right w:w="0" w:type="dxa"/>
                        </w:tblCellMar>
                      </w:tblPr>
                      <w:tblGrid>
                        <w:gridCol w:w="3770"/>
                        <w:gridCol w:w="140"/>
                        <w:gridCol w:w="140"/>
                        <w:gridCol w:w="485"/>
                      </w:tblGrid>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Debt Commitment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Default Settlement Method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Definitive Financing Documents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Delaware Secretary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Dissenting Shares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6</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DTC</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Effective Time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End Date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43</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Agent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Exchange Fund</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Final Exercise Date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33</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Indemnity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40</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Financing Related Proceeding</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Harmful Code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Indemnified Parties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intentional and material breach</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Letter of Transmittal</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Maximum Amount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35</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Agreement Representations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Consideration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 Sub</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Merger</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Nasdaq</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9</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Non-Budgeted Company Capital Expenditure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Original Agreement</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401(k) Plan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 Disclosure Schedule</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20</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Parent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Payoff Letter</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Permitted Company Debt Modification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24</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Regulatory Remedies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Relevant Legal Restraint</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42</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Amounts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22</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Required Company Stockholder Vote</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Company 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Significant Parent Subsidiary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Subsidiary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Surviving Corporation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1</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Technology</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7</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Trading Day</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r>
                              <w:rPr>
                                <w:rFonts w:ascii="Times New Roman;Times;serif" w:hAnsi="Times New Roman;Times;serif"/>
                                <w:color w:val="000000"/>
                                <w:sz w:val="20"/>
                              </w:rPr>
                              <w:t xml:space="preserve"> </w:t>
                            </w:r>
                          </w:p>
                        </w:tc>
                      </w:tr>
                      <w:tr>
                        <w:trPr/>
                        <w:tc>
                          <w:tcPr>
                            <w:tcW w:w="3770" w:type="dxa"/>
                            <w:tcBorders/>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Transaction Litigation</w:t>
                            </w:r>
                          </w:p>
                        </w:tc>
                        <w:tc>
                          <w:tcPr>
                            <w:tcW w:w="140" w:type="dxa"/>
                            <w:tcBorders/>
                            <w:vAlign w:val="center"/>
                          </w:tcPr>
                          <w:p>
                            <w:pPr>
                              <w:pStyle w:val="TableContents"/>
                              <w:bidi w:val="0"/>
                              <w:spacing w:before="0" w:after="0"/>
                              <w:jc w:val="left"/>
                              <w:rPr/>
                            </w:pPr>
                            <w:r>
                              <w:rPr/>
                              <w:t> </w:t>
                            </w:r>
                          </w:p>
                        </w:tc>
                        <w:tc>
                          <w:tcPr>
                            <w:tcW w:w="140" w:type="dxa"/>
                            <w:tcBorders/>
                            <w:vAlign w:val="center"/>
                          </w:tcPr>
                          <w:p>
                            <w:pPr>
                              <w:pStyle w:val="TableContents"/>
                              <w:bidi w:val="0"/>
                              <w:spacing w:before="0" w:after="0"/>
                              <w:jc w:val="left"/>
                              <w:rPr/>
                            </w:pPr>
                            <w:r>
                              <w:rPr/>
                              <w:t> </w:t>
                            </w:r>
                          </w:p>
                        </w:tc>
                        <w:tc>
                          <w:tcPr>
                            <w:tcW w:w="485" w:type="dxa"/>
                            <w:tcBorders/>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36</w:t>
                            </w:r>
                            <w:r>
                              <w:rPr>
                                <w:rFonts w:ascii="Times New Roman;Times;serif" w:hAnsi="Times New Roman;Times;serif"/>
                                <w:color w:val="000000"/>
                                <w:sz w:val="20"/>
                              </w:rPr>
                              <w:t xml:space="preserve"> </w:t>
                            </w:r>
                          </w:p>
                        </w:tc>
                      </w:tr>
                      <w:tr>
                        <w:trPr/>
                        <w:tc>
                          <w:tcPr>
                            <w:tcW w:w="3770" w:type="dxa"/>
                            <w:tcBorders/>
                            <w:shd w:fill="CCEEFF" w:val="clear"/>
                            <w:vAlign w:val="center"/>
                          </w:tcPr>
                          <w:p>
                            <w:pPr>
                              <w:pStyle w:val="TableContents"/>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Treasury Regulations</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20" w:after="283"/>
                              <w:jc w:val="right"/>
                              <w:rPr>
                                <w:rFonts w:ascii="Times New Roman;Times;serif" w:hAnsi="Times New Roman;Times;serif"/>
                                <w:color w:val="000000"/>
                                <w:sz w:val="20"/>
                              </w:rPr>
                            </w:pPr>
                            <w:r>
                              <w:rPr>
                                <w:rFonts w:ascii="Times New Roman;Times;serif" w:hAnsi="Times New Roman;Times;serif"/>
                                <w:color w:val="000000"/>
                                <w:sz w:val="20"/>
                              </w:rPr>
                              <w:t>A-</w:t>
                            </w:r>
                            <w:r>
                              <w:rPr>
                                <w:rFonts w:ascii="Times New Roman;Times;serif" w:hAnsi="Times New Roman;Times;serif"/>
                                <w:color w:val="000000"/>
                                <w:sz w:val="20"/>
                              </w:rPr>
                              <w:t>8</w:t>
                            </w:r>
                          </w:p>
                        </w:tc>
                      </w:tr>
                      <w:tr>
                        <w:trPr/>
                        <w:tc>
                          <w:tcPr>
                            <w:tcW w:w="377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140" w:type="dxa"/>
                            <w:tcBorders/>
                            <w:shd w:fill="CCEEFF" w:val="clear"/>
                            <w:vAlign w:val="center"/>
                          </w:tcPr>
                          <w:p>
                            <w:pPr>
                              <w:pStyle w:val="TableContents"/>
                              <w:bidi w:val="0"/>
                              <w:spacing w:before="0" w:after="0"/>
                              <w:jc w:val="left"/>
                              <w:rPr/>
                            </w:pPr>
                            <w:r>
                              <w:rPr/>
                              <w:t> </w:t>
                            </w:r>
                          </w:p>
                        </w:tc>
                        <w:tc>
                          <w:tcPr>
                            <w:tcW w:w="485" w:type="dxa"/>
                            <w:tcBorders/>
                            <w:shd w:fill="CCEEFF" w:val="clear"/>
                            <w:vAlign w:val="center"/>
                          </w:tcPr>
                          <w:p>
                            <w:pPr>
                              <w:pStyle w:val="TableContents"/>
                              <w:bidi w:val="0"/>
                              <w:spacing w:before="0" w:after="0"/>
                              <w:jc w:val="left"/>
                              <w:rPr/>
                            </w:pPr>
                            <w:r>
                              <w:rPr/>
                              <w:t> </w:t>
                            </w:r>
                          </w:p>
                        </w:tc>
                      </w:tr>
                    </w:tbl>
                    <w:p>
                      <w:pPr>
                        <w:pStyle w:val="TextBody"/>
                        <w:bidi w:val="0"/>
                        <w:spacing w:before="0" w:after="283"/>
                        <w:jc w:val="left"/>
                        <w:rPr/>
                      </w:pPr>
                      <w:r>
                        <w:rPr/>
                      </w:r>
                    </w:p>
                  </w:txbxContent>
                </v:textbox>
                <w10:wrap type="square" side="right"/>
              </v:rect>
            </w:pict>
          </mc:Fallback>
        </mc:AlternateConten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1" w:name="ny20081083x2_defm14a_301-annexb_pg1"/>
        <w:bookmarkEnd w:id="36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62" w:name="tANNEXB"/>
      <w:bookmarkEnd w:id="362"/>
      <w:r>
        <w:rPr>
          <w:rFonts w:ascii="Times New Roman;Times;serif" w:hAnsi="Times New Roman;Times;serif"/>
          <w:b/>
          <w:color w:val="000000"/>
          <w:sz w:val="20"/>
        </w:rPr>
        <w:t>Annex B</w:t>
      </w:r>
    </w:p>
    <w:p>
      <w:pPr>
        <w:pStyle w:val="TextBody"/>
        <w:bidi w:val="0"/>
        <w:spacing w:before="445" w:after="283"/>
        <w:ind w:left="0" w:right="0" w:hanging="0"/>
        <w:jc w:val="left"/>
        <w:rPr>
          <w:color w:val="000000"/>
        </w:rPr>
      </w:pPr>
      <w:r>
        <w:rPr>
          <w:color w:val="000000"/>
        </w:rPr>
        <w:drawing>
          <wp:inline distT="0" distB="0" distL="0" distR="0">
            <wp:extent cx="1885950" cy="676275"/>
            <wp:effectExtent l="0" t="0" r="0" b="0"/>
            <wp:docPr id="9"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7" descr=""/>
                    <pic:cNvPicPr>
                      <a:picLocks noChangeAspect="1" noChangeArrowheads="1"/>
                    </pic:cNvPicPr>
                  </pic:nvPicPr>
                  <pic:blipFill>
                    <a:blip r:embed="rId13"/>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4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September 29, 2026</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Board of Directors</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Synaptics Incorporated</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1109 McKay Drive</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San Jose, California 95131</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Members of the Board:</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understand that Synaptics Incorporated, a Delaware corporation (the “</w:t>
      </w:r>
      <w:r>
        <w:rPr>
          <w:rFonts w:ascii="Times New Roman;Times;serif" w:hAnsi="Times New Roman;Times;serif"/>
          <w:color w:val="000000"/>
          <w:sz w:val="20"/>
          <w:u w:val="single"/>
        </w:rPr>
        <w:t>Company</w:t>
      </w:r>
      <w:r>
        <w:rPr>
          <w:rFonts w:ascii="Times New Roman;Times;serif" w:hAnsi="Times New Roman;Times;serif"/>
          <w:color w:val="000000"/>
          <w:sz w:val="20"/>
        </w:rPr>
        <w:t>”), ON Semiconductor Corporation, a Delaware corporation (“</w:t>
      </w:r>
      <w:r>
        <w:rPr>
          <w:rFonts w:ascii="Times New Roman;Times;serif" w:hAnsi="Times New Roman;Times;serif"/>
          <w:color w:val="000000"/>
          <w:sz w:val="20"/>
          <w:u w:val="single"/>
        </w:rPr>
        <w:t>Parent</w:t>
      </w:r>
      <w:r>
        <w:rPr>
          <w:rFonts w:ascii="Times New Roman;Times;serif" w:hAnsi="Times New Roman;Times;serif"/>
          <w:color w:val="000000"/>
          <w:sz w:val="20"/>
        </w:rPr>
        <w:t>”), and Sonic Acquisition Corp., a Delaware corporation and a wholly owned subsidiary of Parent (“</w:t>
      </w:r>
      <w:r>
        <w:rPr>
          <w:rFonts w:ascii="Times New Roman;Times;serif" w:hAnsi="Times New Roman;Times;serif"/>
          <w:color w:val="000000"/>
          <w:sz w:val="20"/>
          <w:u w:val="single"/>
        </w:rPr>
        <w:t>Merger Sub</w:t>
      </w:r>
      <w:r>
        <w:rPr>
          <w:rFonts w:ascii="Times New Roman;Times;serif" w:hAnsi="Times New Roman;Times;serif"/>
          <w:color w:val="000000"/>
          <w:sz w:val="20"/>
        </w:rPr>
        <w:t>”), plan to enter into an Amended and Restated Agreement and Plan of Merger dated as of October 1, 2026 (the “</w:t>
      </w:r>
      <w:r>
        <w:rPr>
          <w:rFonts w:ascii="Times New Roman;Times;serif" w:hAnsi="Times New Roman;Times;serif"/>
          <w:color w:val="000000"/>
          <w:sz w:val="20"/>
          <w:u w:val="single"/>
        </w:rPr>
        <w:t>Merger Agreement</w:t>
      </w:r>
      <w:r>
        <w:rPr>
          <w:rFonts w:ascii="Times New Roman;Times;serif" w:hAnsi="Times New Roman;Times;serif"/>
          <w:color w:val="000000"/>
          <w:sz w:val="20"/>
        </w:rPr>
        <w:t>”), pursuant to which, among other things, Merger Sub will merge with and into the Company, with the Company surviving such merger as a wholly owned subsidiary of Parent (the “</w:t>
      </w:r>
      <w:r>
        <w:rPr>
          <w:rFonts w:ascii="Times New Roman;Times;serif" w:hAnsi="Times New Roman;Times;serif"/>
          <w:color w:val="000000"/>
          <w:sz w:val="20"/>
          <w:u w:val="single"/>
        </w:rPr>
        <w:t>Merger</w:t>
      </w:r>
      <w:r>
        <w:rPr>
          <w:rFonts w:ascii="Times New Roman;Times;serif" w:hAnsi="Times New Roman;Times;serif"/>
          <w:color w:val="000000"/>
          <w:sz w:val="20"/>
        </w:rPr>
        <w:t>”). Pursuant to the Merger Agreement, each share of common stock, par value $0.001 per share, of the Company (“</w:t>
      </w:r>
      <w:r>
        <w:rPr>
          <w:rFonts w:ascii="Times New Roman;Times;serif" w:hAnsi="Times New Roman;Times;serif"/>
          <w:color w:val="000000"/>
          <w:sz w:val="20"/>
          <w:u w:val="single"/>
        </w:rPr>
        <w:t>Company Common Stock</w:t>
      </w:r>
      <w:r>
        <w:rPr>
          <w:rFonts w:ascii="Times New Roman;Times;serif" w:hAnsi="Times New Roman;Times;serif"/>
          <w:color w:val="000000"/>
          <w:sz w:val="20"/>
        </w:rPr>
        <w:t>”) issued and outstanding immediately prior to the effective time of the Merger (the “</w:t>
      </w:r>
      <w:r>
        <w:rPr>
          <w:rFonts w:ascii="Times New Roman;Times;serif" w:hAnsi="Times New Roman;Times;serif"/>
          <w:color w:val="000000"/>
          <w:sz w:val="20"/>
          <w:u w:val="single"/>
        </w:rPr>
        <w:t>Effective Time</w:t>
      </w:r>
      <w:r>
        <w:rPr>
          <w:rFonts w:ascii="Times New Roman;Times;serif" w:hAnsi="Times New Roman;Times;serif"/>
          <w:color w:val="000000"/>
          <w:sz w:val="20"/>
        </w:rPr>
        <w:t>”), other than any shares of Company Common Stock that are (i) owned or held in the Company’s treasury or by any Company subsidiary, (ii) owned by Parent or Merger Sub or (iii) Dissenting Shares (as defined in the Merger Agreement), will be converted into the right to receive $123.00 in cash, without interest (the “</w:t>
      </w:r>
      <w:r>
        <w:rPr>
          <w:rFonts w:ascii="Times New Roman;Times;serif" w:hAnsi="Times New Roman;Times;serif"/>
          <w:color w:val="000000"/>
          <w:sz w:val="20"/>
          <w:u w:val="single"/>
        </w:rPr>
        <w:t>Merger Consideration</w:t>
      </w:r>
      <w:r>
        <w:rPr>
          <w:rFonts w:ascii="Times New Roman;Times;serif" w:hAnsi="Times New Roman;Times;serif"/>
          <w:color w:val="000000"/>
          <w:sz w:val="20"/>
        </w:rPr>
        <w:t>”). The terms and conditions of the Merger are more fully set forth in the Merger Agreement.</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You have asked for our opinion as to whether the Merger Consideration to be received pursuant to, and in accordance with, the terms of the Merger Agreement by the holders of shares of Company Common Stock (other than Parent or any affiliate of Parent) (the “</w:t>
      </w:r>
      <w:r>
        <w:rPr>
          <w:rFonts w:ascii="Times New Roman;Times;serif" w:hAnsi="Times New Roman;Times;serif"/>
          <w:color w:val="000000"/>
          <w:sz w:val="20"/>
          <w:u w:val="single"/>
        </w:rPr>
        <w:t>Holders</w:t>
      </w:r>
      <w:r>
        <w:rPr>
          <w:rFonts w:ascii="Times New Roman;Times;serif" w:hAnsi="Times New Roman;Times;serif"/>
          <w:color w:val="000000"/>
          <w:sz w:val="20"/>
        </w:rPr>
        <w:t>”), is fair, from a financial point of view, to such Holders.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For purposes of the opinion set forth herein, we have reviewed a draft of the Merger Agreement dated September 29, 2026 (the “</w:t>
      </w:r>
      <w:r>
        <w:rPr>
          <w:rFonts w:ascii="Times New Roman;Times;serif" w:hAnsi="Times New Roman;Times;serif"/>
          <w:color w:val="000000"/>
          <w:sz w:val="20"/>
          <w:u w:val="single"/>
        </w:rPr>
        <w:t>Draft Merger Agreement</w:t>
      </w:r>
      <w:r>
        <w:rPr>
          <w:rFonts w:ascii="Times New Roman;Times;serif" w:hAnsi="Times New Roman;Times;serif"/>
          <w:color w:val="000000"/>
          <w:sz w:val="20"/>
        </w:rPr>
        <w:t>”), certain related documents and certain publicly available financial statements and other business and financial information of the Company. We have also reviewed certain forward-looking information relating to the Company prepared by the management of the Company, including financial projections and operating data of the Company (the “</w:t>
      </w:r>
      <w:r>
        <w:rPr>
          <w:rFonts w:ascii="Times New Roman;Times;serif" w:hAnsi="Times New Roman;Times;serif"/>
          <w:color w:val="000000"/>
          <w:sz w:val="20"/>
          <w:u w:val="single"/>
        </w:rPr>
        <w:t>Company Projections</w:t>
      </w:r>
      <w:r>
        <w:rPr>
          <w:rFonts w:ascii="Times New Roman;Times;serif" w:hAnsi="Times New Roman;Times;serif"/>
          <w:color w:val="000000"/>
          <w:sz w:val="20"/>
        </w:rPr>
        <w:t>”). Additionally, we discussed the past and current operations and financial condition and the prospects of the Company with senior management of the Company. We also reviewed the historical market prices and trading activity for Company Common Stock and compared the financial performance of the Company and the prices and trading activity of Company Common Stock with that of certain other selected publicly-traded companies and their securities. In addition, we reviewed the financial terms, to the extent publicly available, of selected acquisition transactions, participated in certain discussions and negotiations among representatives of the Company, Parent and their respective financial and legal advisors, and performed such other analyses, reviewed such other information and considered such other factors as we have deemed appropriate.</w:t>
      </w:r>
    </w:p>
    <w:p>
      <w:pPr>
        <w:pStyle w:val="TextBody"/>
        <w:bidi w:val="0"/>
        <w:spacing w:before="268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3" w:name="ny20081083x2_defm14a_301-annexb_pg2"/>
        <w:bookmarkEnd w:id="363"/>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85950" cy="676275"/>
            <wp:effectExtent l="0" t="0" r="0" b="0"/>
            <wp:docPr id="10"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8" descr=""/>
                    <pic:cNvPicPr>
                      <a:picLocks noChangeAspect="1" noChangeArrowheads="1"/>
                    </pic:cNvPicPr>
                  </pic:nvPicPr>
                  <pic:blipFill>
                    <a:blip r:embed="rId14"/>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 xml:space="preserve">In arriving at our opinion, we have assumed and relied upon, without independent verification, the accuracy and completeness of the information that was publicly available or supplied or otherwise made available to, or discussed with, us by the Company. With respect to the Company Projections, we have been advised by the management of the Company, and have assumed based on discussions with the management and Board of Directors of the Company, that they have been reasonably prepared on bases reflecting the best currently available estimates and judgments of the management of the Company of the future financial performance of the Company and other matters covered thereby. We express no view as to the Company Projections or the assumptions on which they were based. We have assumed that the terms of the Draft Merger Agreement will not differ materially from the final executed Merger Agreement, and that the Merger will be consummated in accordance with the terms set forth in the Merger Agreement, without any modification, waiver or delay. In addition, we have assumed that in connection with the receipt of all the necessary approvals of the proposed Merger, no delays, limitations, conditions or restrictions will be imposed that could have an adverse effect on the Company or the contemplated benefits expected to be derived in the proposed Merger. We have relied upon, without independent verification, the assessment of the Company and its legal, tax or regulatory advisors with respect to legal, tax or regulatory matters. We have not made any independent evaluation or appraisal of the assets or liabilities (contingent or otherwise) of the Company or its affiliates, nor have we been furnished with any such evaluation or appraisal. In addition, we have relied, without independent verification, upon the assessment of the management of the Company as to the existing and future technology and products of the Company and the risks associated with such technology and products. </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We have acted as financial advisor to the Company in connection with the Merger and will receive a fee for our services, a portion of which has been earned, and a further portion of which will become payable upon delivery of this opinion. We will receive an additional, larger fee if the Merger is consummated. In addition, the Company has agreed to reimburse our expenses and indemnify us for certain liabilities arising out of our engagement. During the two-year period prior to the date hereof, no material relationship existed between Qatalyst Partners or any of its affiliates, on the one hand, and the Company or Parent, on the other hand, pursuant to which compensation was received by Qatalyst Partners or its affiliates; however, Qatalyst Partners and/or its affiliates may in the future provide investment banking and other financial services to the Company or Parent and/or their respective affiliates for which we would expect to receive compensation.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Qatalyst Partners provides investment banking and other services to a wide range of entities and individuals, domestically and offshore, from which conflicting interests or duties may arise. In the ordinary course of these activities, affiliates of Qatalyst Partners may at any time hold long or short positions, and may trade or otherwise effect transactions in debt or equity securities or loans of the Company, Parent or certain of their respective affiliates.</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This opinion has been approved by our opinion committee in accordance with our customary practice. This opinion is for the information of the Board of Directors of the Company and may not be used for any other purpose without our prior written consent. This opinion does not constitute a recommendation as to how stockholders of the Company should vote with respect to the Merger or any other matter and does not in any manner address the price at which shares of Company Common Stock will trade or otherwise be transferable at any time.</w:t>
      </w:r>
    </w:p>
    <w:p>
      <w:pPr>
        <w:pStyle w:val="TextBody"/>
        <w:bidi w:val="0"/>
        <w:spacing w:before="292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4" w:name="ny20081083x2_defm14a_301-annexb_pg3"/>
        <w:bookmarkEnd w:id="364"/>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color w:val="000000"/>
        </w:rPr>
      </w:pPr>
      <w:r>
        <w:rPr>
          <w:color w:val="000000"/>
        </w:rPr>
        <w:drawing>
          <wp:inline distT="0" distB="0" distL="0" distR="0">
            <wp:extent cx="1885950" cy="676275"/>
            <wp:effectExtent l="0" t="0" r="0" b="0"/>
            <wp:docPr id="11"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9" descr=""/>
                    <pic:cNvPicPr>
                      <a:picLocks noChangeAspect="1" noChangeArrowheads="1"/>
                    </pic:cNvPicPr>
                  </pic:nvPicPr>
                  <pic:blipFill>
                    <a:blip r:embed="rId15"/>
                    <a:stretch>
                      <a:fillRect/>
                    </a:stretch>
                  </pic:blipFill>
                  <pic:spPr bwMode="auto">
                    <a:xfrm>
                      <a:off x="0" y="0"/>
                      <a:ext cx="1885950" cy="676275"/>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TextBody"/>
        <w:bidi w:val="0"/>
        <w:spacing w:before="16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Our opinion is necessarily based on financial, economic, market and other conditions as in effect on, and the information made available to us as of, the date hereof. Events occurring after the date hereof may affect this opinion and the assumptions used in preparing it, and we do not assume any obligation to update, revise or reaffirm this opinion. Our opinion does not address the underlying business decision of the Company to engage in the Merger, or the relative merits of the Merger as compared to any strategic alternatives that may be available to the Company. We have not been asked to, nor do we express any view on, and our opinion does not address, any other term or aspect of the Merger Agreement, the Merger or any of the other transactions contemplated by the Merger Agreement, including, without limitation, the structure or form of the Merger, or any other agreements or arrangements contemplated by the Merger Agreement or entered into in connection with or otherwise contemplated by the Merger or any of the other transactions contemplated by the Merger Agreement. Our opinion is limited to the fairness, from a financial point of view, of the Merger Consideration to be received by the Holders pursuant to, and in accordance with, the terms of the Merger Agreement, and we express no opinion with respect to the fairness of the amount or nature of the compensation to any of the officers, directors or employees of the Company or any of its affiliates, or any class of such persons, relative to such Merger Consideration.</w:t>
      </w:r>
    </w:p>
    <w:p>
      <w:pPr>
        <w:pStyle w:val="TextBody"/>
        <w:bidi w:val="0"/>
        <w:spacing w:before="120" w:after="283"/>
        <w:ind w:left="0" w:right="0" w:firstLine="400"/>
        <w:jc w:val="both"/>
        <w:rPr>
          <w:rFonts w:ascii="Times New Roman;Times;serif" w:hAnsi="Times New Roman;Times;serif"/>
          <w:color w:val="000000"/>
          <w:sz w:val="20"/>
        </w:rPr>
      </w:pPr>
      <w:r>
        <w:rPr>
          <w:rFonts w:ascii="Times New Roman;Times;serif" w:hAnsi="Times New Roman;Times;serif"/>
          <w:color w:val="000000"/>
          <w:sz w:val="20"/>
        </w:rPr>
        <w:t>Based on and subject to the foregoing, we are of the opinion on the date hereof that the Merger Consideration to be received by the Holders pursuant to, and in accordance with, the terms of the Merger Agreement is fair, from a financial point of view, to such Holders.</w:t>
      </w:r>
    </w:p>
    <w:p>
      <w:pPr>
        <w:pStyle w:val="TextBody"/>
        <w:bidi w:val="0"/>
        <w:spacing w:before="38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Yours faithfully,</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/s/ Qatalyst Partners LP</w:t>
      </w:r>
    </w:p>
    <w:p>
      <w:pPr>
        <w:pStyle w:val="TextBody"/>
        <w:bidi w:val="0"/>
        <w:spacing w:before="0" w:after="283"/>
        <w:ind w:left="0" w:right="0" w:hanging="0"/>
        <w:jc w:val="left"/>
        <w:rPr>
          <w:color w:val="000000"/>
        </w:rPr>
      </w:pPr>
      <w:r>
        <w:rPr>
          <w:color w:val="000000"/>
        </w:rPr>
        <w:t> </w:t>
      </w:r>
    </w:p>
    <w:p>
      <w:pPr>
        <w:pStyle w:val="TextBody"/>
        <w:bidi w:val="0"/>
        <w:spacing w:before="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Qatalyst Partners LP</w:t>
      </w:r>
    </w:p>
    <w:p>
      <w:pPr>
        <w:pStyle w:val="TextBody"/>
        <w:bidi w:val="0"/>
        <w:spacing w:before="6040" w:after="283"/>
        <w:jc w:val="center"/>
        <w:rPr>
          <w:rFonts w:ascii="Times New Roman;Times;serif" w:hAnsi="Times New Roman;Times;serif"/>
          <w:color w:val="000000"/>
          <w:sz w:val="20"/>
        </w:rPr>
      </w:pPr>
      <w:r>
        <w:rPr>
          <w:rFonts w:ascii="Times New Roman;Times;serif" w:hAnsi="Times New Roman;Times;serif"/>
          <w:color w:val="000000"/>
          <w:sz w:val="20"/>
        </w:rPr>
        <w:t>Three Embarcadero Center | 15th Floor | San Francisco, CA 94111</w:t>
      </w:r>
    </w:p>
    <w:p>
      <w:pPr>
        <w:pStyle w:val="TextBody"/>
        <w:bidi w:val="0"/>
        <w:spacing w:before="0" w:after="283"/>
        <w:jc w:val="center"/>
        <w:rPr>
          <w:rFonts w:ascii="Times New Roman;Times;serif" w:hAnsi="Times New Roman;Times;serif"/>
          <w:color w:val="000000"/>
          <w:sz w:val="20"/>
        </w:rPr>
      </w:pPr>
      <w:r>
        <w:rPr>
          <w:rFonts w:ascii="Times New Roman;Times;serif" w:hAnsi="Times New Roman;Times;serif"/>
          <w:color w:val="000000"/>
          <w:sz w:val="20"/>
        </w:rPr>
        <w:t xml:space="preserve">Tel: 415.844.7700 | www.qatalyst.com | Fax: 415.391.3914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B-3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5" w:name="ny20081083x2_defm14a_302-annexc_pg1"/>
        <w:bookmarkEnd w:id="365"/>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right"/>
        <w:rPr>
          <w:rFonts w:ascii="Times New Roman;Times;serif" w:hAnsi="Times New Roman;Times;serif"/>
          <w:b/>
          <w:color w:val="000000"/>
          <w:sz w:val="20"/>
        </w:rPr>
      </w:pPr>
      <w:bookmarkStart w:id="366" w:name="tANNEXC"/>
      <w:bookmarkEnd w:id="366"/>
      <w:r>
        <w:rPr>
          <w:rFonts w:ascii="Times New Roman;Times;serif" w:hAnsi="Times New Roman;Times;serif"/>
          <w:b/>
          <w:color w:val="000000"/>
          <w:sz w:val="20"/>
        </w:rPr>
        <w:t>Annex C</w:t>
      </w:r>
    </w:p>
    <w:p>
      <w:pPr>
        <w:pStyle w:val="TextBody"/>
        <w:bidi w:val="0"/>
        <w:spacing w:before="390" w:after="283"/>
        <w:jc w:val="center"/>
        <w:rPr>
          <w:rFonts w:ascii="Times New Roman;Times;serif" w:hAnsi="Times New Roman;Times;serif"/>
          <w:b/>
          <w:color w:val="000000"/>
          <w:sz w:val="20"/>
        </w:rPr>
      </w:pPr>
      <w:r>
        <w:rPr>
          <w:rFonts w:ascii="Times New Roman;Times;serif" w:hAnsi="Times New Roman;Times;serif"/>
          <w:b/>
          <w:color w:val="000000"/>
          <w:sz w:val="20"/>
        </w:rPr>
        <w:t xml:space="preserve">§ 262. Appraisal rights. </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Any stockholder of a corporation of this State who holds shares of stock on the date of the making of a demand pursuant to subsection (d) of this section with respect to such shares, who continuously holds such shares through the effective date of the merger, consolidation, conversion, transfer, domestication or continuance, who has otherwise complied with subsection (d) of this section and who has neither voted in favor of the merger, consolidation, conversion, transfer, domestication or continuance nor consented thereto in writing pursuant to § 228 of this title shall be entitled to an appraisal by the Court of Chancery of the fair value of the stockholder’s shares of stock under the circumstances described in subsections (b) and (c) of this section. As used in this section, the word “stockholder” means a holder of record of stock in a corporation; the words “stock” and “share” mean and include what is ordinarily meant by those words; the words “depository receipt” mean a receipt or other instrument issued by a depository representing an interest in 1 or more shares, or fractions thereof, solely of stock of a corporation, which stock is deposited with the depository; the words “beneficial owner” mean a person who is the beneficial owner of shares of stock held either in voting trust or by a nominee on behalf of such person; and the word “person” means any individual, corporation, partnership, unincorporated association or other entity.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Appraisal rights shall be available for the shares of any class or series of stock of a constituent, converting, transferring, domesticating or continuing corporation in a merger, consolidation, conversion, transfer, domestication or continuance to be effected pursuant to § 251 (other than a merger effected pursuant to § 251(g) of this title), § 252, § 254, § 255, § 256, § 257, § 258, § 263, § 264, § 266 or § 390 of this title (other than, in each case and solely with respect to a converted or domesticated corporation, a merger, consolidation, conversion, transfer, domestication or continuance authorized pursuant to and in accordance with the provisions of § 265 or § 388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 Provided, however, that no appraisal rights under this section shall be available for the shares of any class or series of stock, which stock, or depository receipts in respect thereof, at the record date fixed to determine the stockholders entitled to receive notice of the meeting of stockholders, or at the record date fixed to determine the stockholders entitled to consent pursuant to § 228 of this title, to act upon the agreement of merger or consolidation or the resolution providing for the conversion, transfer, domestication or continuance (or, in the case of a merger pursuant to § 251(h) of this title, as of immediately prior to the execution of the agreement of merger), were either: (i) listed on a national securities exchange or (ii) held of record by more than 2,000 holders; and further provided that no appraisal rights shall be available for any shares of stock of the constituent corporation surviving a merger if the merger did not require for its approval the vote of the stockholders of the surviving corporation as provided in § 251(f)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(2) Notwithstanding paragraph (b)(1) of this section, appraisal rights under this section shall be available for the shares of any class or series of stock of a constituent, converting, transferring, domesticating or continuing corporation if the holders thereof are required by the terms of an agreement of merger or consolidation, or by the terms of a resolution providing for conversion, transfer, domestication or continuance, pursuant to § 251, § 252, § 254, § 255, § 256, § 257, § 258, § 263, § 264, § 266 or § 390 of this title to accept for such stock anything except:</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a. Shares of stock of the corporation surviving or resulting from such merger or consolidation, or of the converted entity or the entity resulting from a transfer, domestication or continuance if such entity is a corporation as a result of the conversion, transfer, domestication or continuance, or depository receipts in respect thereof;</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b. Shares of stock of any other corporation, or depository receipts in respect thereof, which shares of stock (or depository receipts in respect thereof) or depository receipts at the effective date of the merger, consolidation, conversion, transfer, domestication or continuance will be either listed on a national securities exchange or held of record by more than 2,000 holders;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 Cash in lieu of fractional shares or fractional depository receipts described in the foregoing paragraphs (b)(2)a. and b. of this section; 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d. Any combination of the shares of stock, depository receipts and cash in lieu of fractional shares or fractional depository receipts described in the foregoing paragraphs (b)(2)a., b. and c. of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(3) In the event all of the stock of a subsidiary Delaware corporation party to a merger effected under § 253 or § 267 of this title is not owned by the parent immediately prior to the merger, appraisal rights shall be available for the shares of the subsidiary Delaware corporation.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C-1</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7" w:name="ny20081083x2_defm14a_302-annexc_pg2"/>
        <w:bookmarkEnd w:id="367"/>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(4) [Repealed.]</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 Any corporation may provide in its certificate of incorporation that appraisal rights under this section shall be available for the shares of any class or series of its stock as a result of an amendment to its certificate of incorporation, any merger or consolidation in which the corporation is a constituent corporation, the sale of all or substantially all of the assets of the corporation or a conversion effected pursuant to § 266 of this title or a transfer, domestication or continuance effected pursuant to § 390 of this title. If the certificate of incorporation contains such a provision, the provisions of this section, including those set forth in subsections (d), (e), and (g) of this section, shall apply as nearly as is practicable.</w:t>
      </w:r>
    </w:p>
    <w:p>
      <w:pPr>
        <w:pStyle w:val="TextBody"/>
        <w:bidi w:val="0"/>
        <w:spacing w:before="170" w:after="283"/>
        <w:ind w:left="0" w:right="0" w:hanging="0"/>
        <w:jc w:val="left"/>
        <w:rPr>
          <w:rFonts w:ascii="Times New Roman;Times;serif" w:hAnsi="Times New Roman;Times;serif"/>
          <w:color w:val="000000"/>
          <w:sz w:val="20"/>
        </w:rPr>
      </w:pPr>
      <w:r>
        <w:rPr>
          <w:rFonts w:ascii="Times New Roman;Times;serif" w:hAnsi="Times New Roman;Times;serif"/>
          <w:color w:val="000000"/>
          <w:sz w:val="20"/>
        </w:rPr>
        <w:t>(d) Appraisal rights shall be perfected as follows:</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(1) If a proposed merger, consolidation, conversion, transfer, domestication or continuance for which appraisal rights are provided under this section is to be submitted for approval at a meeting of stockholders, the corporation, not less than 20 days prior to the meeting, shall notify each of its stockholders who was such on the record date for notice of such meeting (or such members who received notice in accordance with § 255(c) of this title) with respect to shares for which appraisal rights are available pursuant to subsection (b) or (c) of this section that appraisal rights are available for any or all of the shares of the constituent corporations or the converting, transferring, domesticating or continuing corporation, and shall include in such notice either a copy of this section (and, if 1 of the constituent corporations or the converting corporation is a nonstock corporation, a copy of § 114 of this title) or information directing the stockholders to a publicly available electronic resource at which this section (and, § 114 of this title, if applicable) may be accessed without subscription or cost. Each stockholder electing to demand the appraisal of such stockholder’s shares shall deliver to the corporation, before the taking of the vote on the merger, consolidation, conversion, transfer, domestication or continuance, a written demand for appraisal of such stockholder’s shares; provided that a demand may be delivered to the corporation by electronic transmission if directed to an information processing system (if any) expressly designated for that purpose in such notice. Such demand will be sufficient if it reasonably informs the corporation of the identity of the stockholder and that the stockholder intends thereby to demand the appraisal of such stockholder’s shares. A proxy or vote against the merger, consolidation, conversion, transfer, domestication or continuance shall not constitute such a demand. A stockholder electing to take such action must do so by a separate written demand as herein provided. Within 10 days after the effective date of such merger, consolidation, conversion, transfer, domestication or continuance, the surviving, resulting or converted entity shall notify each stockholder of each constituent or converting, transferring, domesticating or continuing corporation who has complied with this subsection and has not voted in favor of or consented to the merger, consolidation, conversion, transfer, domestication or continuance, and any beneficial owner who has demanded appraisal under paragraph (d)(3) of this section, of the date that the merger, consolidation or conversion has become effective; or</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(2) If the merger, consolidation, conversion, transfer, domestication or continuance was approved pursuant to § 228, § 251(h), § 253, or § 267 of this title, then either a constituent, converting, transferring, domesticating or continuing corporation before the effective date of the merger, consolidation, conversion, transfer, domestication or continuance, or the surviving, resulting or converted entity within 10 days after such effective date, shall notify each stockholder of any class or series of stock of such constituent, converting, transferring, domesticating or continuing corporation who is entitled to appraisal rights of the approval of the merger, consolidation, conversion, transfer, domestication or continuance and that appraisal rights are available for any or all shares of such class or series of stock of such constituent, converting, transferring, domesticating or continuing corporation, and shall include in such notice either a copy of this section (and, if 1 of the constituent corporations or the converting, transferring, domesticating or continuing corporation is a nonstock corporation, a copy of § 114 of this title) or information directing the stockholders to a publicly available electronic resource at which this section (and § 114 of this title, if applicable) may be accessed without subscription or cost. Such notice may, and, if given on or after the effective date of the merger, consolidation, conversion, transfer, domestication or continuance, shall, also notify such stockholders of the effective date of the merger, consolidation, conversion, transfer, domestication or continuance. Any stockholder entitled to appraisal rights may, within 20 days after the date of giving such notice or, in the case of a merger approved pursuant to § 251(h) of this title, within the later of the consummation of the offer contemplated by § 251(h) of this title and 20 days after the date of giving such notice, demand in writing from the surviving, resulting or converted entity the appraisal of such holder’s shares; provided that a demand may be delivered to such entity by electronic transmission if directed to an information processing system (if any) expressly designated for that purpose in such notice. Such demand will be sufficient if it reasonably informs such entity of the identity of the stockholder and that the stockholder intends thereby to demand the appraisal of such holder’s shares. If such notice did not notify stockholders of the effective date of the merger,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C-2</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8" w:name="ny20081083x2_defm14a_302-annexc_pg3"/>
        <w:bookmarkEnd w:id="368"/>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consolidation, conversion, transfer, domestication or continuance, either (i) each such constituent corporation or the converting, transferring, domesticating or continuing corporation shall send a second notice before the effective date of the merger, consolidation, conversion, transfer, domestication or continuance notifying each of the holders of any class or series of stock of such constituent, converting, transferring, domesticating or continuing corporation that are entitled to appraisal rights of the effective date of the merger, consolidation, conversion, transfer, domestication or continuance or (ii) the surviving, resulting or converted entity shall send such a second notice to all such holders on or within 10 days after such effective date; provided, however, that if such second notice is sent more than 20 days following the sending of the first notice or, in the case of a merger approved pursuant to § 251(h) of this title, later than the later of the consummation of the offer contemplated by § 251(h) of this title and 20 days following the sending of the first notice, such second notice need only be sent to each stockholder who is entitled to appraisal rights and who has demanded appraisal of such holder’s shares in accordance with this subsection and any beneficial owner who has demanded appraisal under paragraph (d)(3) of this section. An affidavit of the secretary or assistant secretary or of the transfer agent of the corporation or entity that is required to give either notice that such notice has been given shall, in the absence of fraud, be prima facie evidence of the facts stated therein. For purposes of determining the stockholders entitled to receive either notice, each constituent corporation or the converting, transferring, domesticating or continuing corporation may fix, in advance, a record date that shall be not more than 10 days prior to the date the notice is given, provided, that if the notice is given on or after the effective date of the merger, consolidation, conversion, transfer, domestication or continuance, the record date shall be such effective date. If no record date is fixed and the notice is given prior to the effective date, the record date shall be the close of business on the day next preceding the day on which the notice is given.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(3) Notwithstanding subsection (a) of this section (but subject to this paragraph (d)(3)), a beneficial owner may, in such person’s name, demand in writing an appraisal of such beneficial owner’s shares in accordance with either paragraph (d)(1) or (2) of this section, as applicable; provided that (i) such beneficial owner continuously owns such shares through the effective date of the merger, consolidation, conversion, transfer, domestication or continuance and otherwise satisfies the requirements applicable to a stockholder under the first sentence of subsection (a) of this section and (ii) the demand made by such beneficial owner reasonably identifies the holder of record of the shares for which the demand is made, is accompanied by documentary evidence of such beneficial owner’s beneficial ownership of stock and a statement that such documentary evidence is a true and correct copy of what it purports to be, and provides an address at which such beneficial owner consents to receive notices given by the surviving, resulting or converted entity hereunder and to be set forth on the verified list required by subsection (f) of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(e) Within 120 days after the effective date of the merger, consolidation, conversion, transfer, domestication or continuance, the surviving, resulting or converted entity, or any person who has complied with subsections (a) and (d) of this section and who is otherwise entitled to appraisal rights, may commence an appraisal proceeding by filing a petition in the Court of Chancery demanding a determination of the value of the stock of all such stockholders. Notwithstanding the foregoing, at any time within 60 days after the effective date of the merger, consolidation, conversion, transfer, domestication or continuance, any person entitled to appraisal rights who has not commenced an appraisal proceeding or joined that proceeding as a named party shall have the right to withdraw such person’s demand for appraisal and to accept the terms offered upon the merger, consolidation, conversion, transfer, domestication or continuance. Within 120 days after the effective date of the merger, consolidation, conversion, transfer, domestication or continuance, any person who has complied with the requirements of subsections (a) and (d) of this section, upon request given in writing (or by electronic transmission directed to an information processing system (if any) expressly designated for that purpose in the notice of appraisal), shall be entitled to receive from the surviving, resulting or converted entity a statement setting forth the aggregate number of shares not voted in favor of the merger, consolidation, conversion, transfer, domestication or continuance (or, in the case of a merger approved pursuant to § 251(h) of this title, the aggregate number of shares (other than any excluded stock (as defined in § 251(h)(6)d. of this title)) that were the subject of, and were not tendered into, and accepted for purchase or exchange in, the offer referred to in § 251(h)(2) of this title)), and, in either case, with respect to which demands for appraisal have been received and the aggregate number of stockholders or beneficial owners holding or owning such shares (provided that, where a beneficial owner makes a demand pursuant to paragraph (d)(3) of this section, the record holder of such shares shall not be considered a separate stockholder holding such shares for purposes of such aggregate number). Such statement shall be given to the person within 10 days after such person’s request for such a statement is received by the surviving, resulting or converted entity or within 10 days after expiration of the period for delivery of demands for appraisal under subsection (d) of this section, whichever is later.</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C-3</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69" w:name="ny20081083x2_defm14a_302-annexc_pg4"/>
        <w:bookmarkEnd w:id="369"/>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(f) Upon the filing of any such petition by any person other than the surviving, resulting or converted entity, service of a copy thereof shall be made upon such entity, which shall within 20 days after such service file in the office of the Register in Chancery in which the petition was filed a duly verified list containing the names and addresses of all persons who have demanded appraisal for their shares and with whom agreements as to the value of their shares have not been reached by such entity. If the petition shall be filed by the surviving, resulting or converted entity, the petition shall be accompanied by such a duly verified list. The Register in Chancery, if so ordered by the Court, shall give notice of the time and place fixed for the hearing of such petition by registered or certified mail to the surviving, resulting or converted entity and to the persons shown on the list at the addresses therein stated. The forms of the notices by mail and by publication shall be approved by the Court, and the costs thereof shall be borne by the surviving, resulting or converted entity.</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(g) At the hearing on such petition, the Court shall determine the persons who have complied with this section and who have become entitled to appraisal rights. The Court may require the persons who have demanded an appraisal for their shares and who hold stock represented by certificates to submit their certificates of stock to the Register in Chancery for notation thereon of the pendency of the appraisal proceedings; and if any person fails to comply with such direction, the Court may dismiss the proceedings as to such person. If immediately before the merger, consolidation, conversion, transfer, domestication or continuance the shares of the class or series of stock of the constituent, converting, transferring, domesticating or continuing corporation as to which appraisal rights are available were listed on a national securities exchange, the Court shall dismiss the proceedings as to all holders of such shares who are otherwise entitled to appraisal rights unless (1) the total number of shares entitled to appraisal exceeds 1% of the outstanding shares of the class or series eligible for appraisal, (2) the value of the consideration provided in the merger, consolidation, conversion, transfer, domestication or continuance for such total number of shares exceeds $1 million, or (3) the merger was approved pursuant to § 253 or § 267 of this title.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(h) After the Court determines the persons entitled to an appraisal, the appraisal proceeding shall be conducted in accordance with the rules of the Court of Chancery, including any rules specifically governing appraisal proceedings. Through such proceeding the Court shall determine the fair value of the shares exclusive of any element of value arising from the accomplishment or expectation of the merger, consolidation, conversion, transfer, domestication or continuance, together with interest, if any, to be paid upon the amount determined to be the fair value. In determining such fair value, the Court shall take into account all relevant factors. Unless the Court in its discretion determines otherwise for good cause shown, and except as provided in this subsection, interest from the effective date of the merger, consolidation, conversion, transfer, domestication or continuance through the date of payment of the judgment shall be compounded quarterly and shall accrue at 5% over the Federal Reserve discount rate (including any surcharge) as established from time to time during the period between the effective date of the merger, consolidation or conversion and the date of payment of the judgment. At any time before the entry of judgment in the proceedings, the surviving, resulting or converted entity may pay to each person entitled to appraisal an amount in cash, in which case interest shall accrue thereafter as provided herein only upon the sum of (1) the difference, if any, between the amount so paid and the fair value of the shares as determined by the Court, and (2) interest theretofore accrued, unless paid at that time. Upon application by the surviving, resulting or converted entity or by any person entitled to participate in the appraisal proceeding, the Court may, in its discretion, proceed to trial upon the appraisal prior to the final determination of the persons entitled to an appraisal. Any person whose name appears on the list filed by the surviving, resulting or converted entity pursuant to subsection (f) of this section may participate fully in all proceedings until it is finally determined that such person is not entitled to appraisal rights under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(i) The Court shall direct the payment of the fair value of the shares, together with interest, if any, by the surviving, resulting or converted entity to the persons entitled thereto. Payment shall be so made to each such person upon such terms and conditions as the Court may order. The Court’s decree may be enforced as other decrees in the Court of Chancery may be enforced, whether such surviving, resulting or converted entity be an entity of this State or of any state.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(j) The costs of the proceeding may be determined by the Court and taxed upon the parties as the Court deems equitable in the circumstances. Upon application of a person whose name appears on the list filed by the surviving, resulting or converted entity pursuant to subsection (f) of this section who participated in the proceeding and incurred expenses in connection therewith, the Court may order all or a portion of such expenses, including, without limitation, reasonable attorney’s fees and the fees and expenses of experts, to be charged pro rata against the value of all the shares entitled to an appraisal not dismissed pursuant to subsection (k) of this section or subject to such an award pursuant to a reservation of jurisdiction under subsection (k) of this section.</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C-4</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0" w:name="ny20081083x2_defm14a_302-annexc_pg5"/>
        <w:bookmarkEnd w:id="370"/>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(k) Subject to the remainder of this subsection, from and after the effective date of the merger, consolidation, conversion, transfer, domestication or continuance, no person who has demanded appraisal rights with respect to some or all of such person’s shares as provided in subsection (d) of this section shall be entitled to vote such shares for any purpose or to receive payment of dividends or other distributions on such shares (except dividends or other distributions payable to stockholders of record at a date which is prior to the effective date of the merger, consolidation, conversion, transfer, domestication or continuance). If a person who has made a demand for an appraisal in accordance with this section shall deliver to the surviving, resulting or converted entity a written withdrawal of such person’s demand for an appraisal in respect of some or all of such person’s shares in accordance with subsection (e) of this section, either within 60 days after such effective date or thereafter with the written approval of the corporation, then the right of such person to an appraisal of the shares subject to the withdrawal shall cease. Notwithstanding the foregoing, an appraisal proceeding in the Court of Chancery shall not be dismissed as to any person without the approval of the Court, and such approval may be conditioned upon such terms as the Court deems just, including without limitation, a reservation of jurisdiction for any application to the Court made under subsection (j) of this section; provided, however that this provision shall not affect the right of any person who has not commenced an appraisal proceeding or joined that proceeding as a named party to withdraw such person’s demand for appraisal and to accept the terms offered upon the merger, consolidation, conversion, transfer, domestication or continuance within 60 days after the effective date of the merger, consolidation, conversion, transfer, domestication or continuance, as set forth in subsection (e) of this section. If a petition for an appraisal is not filed within the time provided in subsection (e) of this section, the right to appraisal with respect to all shares shall cease.</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(l) The shares or other equity interests of the surviving, resulting or converted entity to which the shares of stock subject to appraisal under this section would have otherwise converted but for an appraisal demand made in accordance with this section shall have the status of authorized but not outstanding shares of stock or other equity interests of the surviving, resulting or converted entity, unless and until the person that has demanded appraisal is no longer entitled to appraisal pursuant to this section.</w:t>
      </w:r>
    </w:p>
    <w:p>
      <w:pPr>
        <w:pStyle w:val="TextBody"/>
        <w:bidi w:val="0"/>
        <w:spacing w:before="120" w:after="283"/>
        <w:ind w:left="0" w:right="0" w:hanging="0"/>
        <w:jc w:val="both"/>
        <w:rPr>
          <w:rFonts w:ascii="Times New Roman;Times;serif" w:hAnsi="Times New Roman;Times;serif"/>
          <w:color w:val="000000"/>
          <w:sz w:val="20"/>
        </w:rPr>
      </w:pPr>
      <w:r>
        <w:rPr>
          <w:rFonts w:ascii="Times New Roman;Times;serif" w:hAnsi="Times New Roman;Times;serif"/>
          <w:color w:val="000000"/>
          <w:sz w:val="20"/>
        </w:rPr>
        <w:t xml:space="preserve">8 Del. C. 1953, §  262; 56 Del. Laws, c. 50; 56 Del. Laws, c. 186, §  24; 57 Del. Laws, c. 148, §§  27-29; 59 Del. Laws, c. 106, §  12; 60 Del. Laws, c. 371, §§  3-12; 63 Del. Laws, c. 25, §  14; 63 Del. Laws, c. 152, §§  1, 2; 64 Del. Laws, c. 112, §§  46-54; 66 Del. Laws, c. 136, §§  30-32; 66 Del. Laws, c. 352, §  9; 67 Del. Laws, c. 376, §§  19, 20; 68 Del. Laws, c. 337, §§  3, 4; 69 Del. Laws, c. 61, §  10; 69 Del. Laws, c. 262, §§  1-9; 70 Del. Laws, c. 79, §  16; 70 Del. Laws, c. 186, §  1; 70 Del. Laws, c. 299, §§  2, 3; 70 Del. Laws, c. 349, §  22; 71 Del. Laws, c. 120, §  15; 71 Del. Laws, c. 339, §§  49-52; 73 Del. Laws, c. 82, §  21; 76 Del. Laws, c. 145, §§  11-16; 77 Del. Laws, c. 14, §§  12, 13; 77 Del. Laws, c. 253, §§  47-50; 77 Del. Laws, c. 290, §§  16, 17; 79 Del. Laws, c. 72, §§  10, 11; 79 Del. Laws, c. 122, §§  6, 7; 80 Del. Laws, c. 265, §§ 8-11; 81 Del. Laws, c. 354, §§ 9, 10, 17; 82 Del. Laws, c. 45, § 15; 82 Del. Laws, c. 256, § 15; 83 Del. Laws, c. 377, § 9; 84 Del. Laws, c. 98, § 9; </w:t>
      </w:r>
    </w:p>
    <w:p>
      <w:pPr>
        <w:pStyle w:val="TextBody"/>
        <w:bidi w:val="0"/>
        <w:spacing w:before="189" w:after="283"/>
        <w:ind w:left="0" w:right="0" w:hanging="0"/>
        <w:jc w:val="center"/>
        <w:rPr>
          <w:rFonts w:ascii="Times New Roman;Times;serif" w:hAnsi="Times New Roman;Times;serif"/>
          <w:color w:val="000000"/>
          <w:sz w:val="20"/>
        </w:rPr>
      </w:pPr>
      <w:r>
        <w:rPr>
          <w:rFonts w:ascii="Times New Roman;Times;serif" w:hAnsi="Times New Roman;Times;serif"/>
          <w:color w:val="000000"/>
          <w:sz w:val="20"/>
        </w:rPr>
        <w:t>C-5</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1" w:name="ny20081083x2_defm14a_400-proxycards_pg1"/>
        <w:bookmarkEnd w:id="371"/>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0" descr=""/>
                    <pic:cNvPicPr>
                      <a:picLocks noChangeAspect="1" noChangeArrowheads="1"/>
                    </pic:cNvPicPr>
                  </pic:nvPicPr>
                  <pic:blipFill>
                    <a:blip r:embed="rId16"/>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p>
      <w:pPr>
        <w:pStyle w:val="HorizontalLine"/>
        <w:pBdr>
          <w:bottom w:val="single" w:sz="12" w:space="0" w:color="808080"/>
        </w:pBdr>
        <w:bidi w:val="0"/>
        <w:spacing w:before="200" w:after="200"/>
        <w:jc w:val="left"/>
        <w:rPr/>
      </w:pPr>
      <w:r>
        <w:rPr/>
      </w:r>
    </w:p>
    <w:p>
      <w:pPr>
        <w:pStyle w:val="TextBody"/>
        <w:bidi w:val="0"/>
        <w:jc w:val="left"/>
        <w:rPr/>
      </w:pPr>
      <w:hyperlink w:anchor="TOC">
        <w:bookmarkStart w:id="372" w:name="ny20081083x2_defm14a_400-proxycards_pg2"/>
        <w:bookmarkEnd w:id="372"/>
        <w:r>
          <w:rPr>
            <w:rStyle w:val="InternetLink"/>
            <w:rFonts w:ascii="Times New Roman;Times;Serif" w:hAnsi="Times New Roman;Times;Serif"/>
            <w:b/>
            <w:caps w:val="false"/>
            <w:smallCaps w:val="false"/>
            <w:color w:val="000000"/>
            <w:sz w:val="16"/>
          </w:rPr>
          <w:t>TABLE OF CONTENTS</w:t>
        </w:r>
      </w:hyperlink>
    </w:p>
    <w:p>
      <w:pPr>
        <w:pStyle w:val="TextBody"/>
        <w:bidi w:val="0"/>
        <w:spacing w:before="135" w:after="283"/>
        <w:ind w:left="0" w:right="0" w:hanging="0"/>
        <w:jc w:val="center"/>
        <w:rPr>
          <w:color w:val="000000"/>
        </w:rPr>
      </w:pPr>
      <w:r>
        <w:rPr>
          <w:color w:val="000000"/>
        </w:rPr>
        <w:drawing>
          <wp:inline distT="0" distB="0" distL="0" distR="0">
            <wp:extent cx="6991350" cy="9048750"/>
            <wp:effectExtent l="0" t="0" r="0" b="0"/>
            <wp:docPr id="1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1" descr=""/>
                    <pic:cNvPicPr>
                      <a:picLocks noChangeAspect="1" noChangeArrowheads="1"/>
                    </pic:cNvPicPr>
                  </pic:nvPicPr>
                  <pic:blipFill>
                    <a:blip r:embed="rId17"/>
                    <a:stretch>
                      <a:fillRect/>
                    </a:stretch>
                  </pic:blipFill>
                  <pic:spPr bwMode="auto">
                    <a:xfrm>
                      <a:off x="0" y="0"/>
                      <a:ext cx="6991350" cy="9048750"/>
                    </a:xfrm>
                    <a:prstGeom prst="rect">
                      <a:avLst/>
                    </a:prstGeom>
                  </pic:spPr>
                </pic:pic>
              </a:graphicData>
            </a:graphic>
          </wp:inline>
        </w:drawing>
      </w:r>
    </w:p>
    <w:p>
      <w:pPr>
        <w:pStyle w:val="TextBody"/>
        <w:bidi w:val="0"/>
        <w:spacing w:before="0" w:after="283"/>
        <w:ind w:left="0" w:right="0" w:hanging="0"/>
        <w:jc w:val="left"/>
        <w:rPr>
          <w:color w:val="000000"/>
        </w:rPr>
      </w:pPr>
      <w:r>
        <w:rPr>
          <w:color w:val="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4.jpeg"/><Relationship Id="rId7" Type="http://schemas.openxmlformats.org/officeDocument/2006/relationships/image" Target="media/image4.jpeg"/><Relationship Id="rId8" Type="http://schemas.openxmlformats.org/officeDocument/2006/relationships/hyperlink" Target="https://www.sec.gov/ix?doc=/Archives/edgar/data/817720/000081772026000055/syna-20260627.htm" TargetMode="External"/><Relationship Id="rId9" Type="http://schemas.openxmlformats.org/officeDocument/2006/relationships/hyperlink" Target="https://www.sec.gov/ix?doc=/Archives/edgar/data/817720/000081772026000075/syna-20260915.htm" TargetMode="External"/><Relationship Id="rId10" Type="http://schemas.openxmlformats.org/officeDocument/2006/relationships/hyperlink" Target="https://www.sec.gov/ix?doc=/Archives/edgar/data/817720/000081772026000061/syna-20260820.htm" TargetMode="External"/><Relationship Id="rId11" Type="http://schemas.openxmlformats.org/officeDocument/2006/relationships/hyperlink" Target="https://www.sec.gov/ix?doc=/Archives/edgar/data/817720/000114036126038301/ef20083029_8k.htm" TargetMode="External"/><Relationship Id="rId12" Type="http://schemas.openxmlformats.org/officeDocument/2006/relationships/hyperlink" Target="https://www.sec.gov/ix?doc=/Archives/edgar/data/0000817720/000081772026000081/syna-20261013.htm" TargetMode="External"/><Relationship Id="rId13" Type="http://schemas.openxmlformats.org/officeDocument/2006/relationships/image" Target="media/image5.jpeg"/><Relationship Id="rId14" Type="http://schemas.openxmlformats.org/officeDocument/2006/relationships/image" Target="media/image5.jpeg"/><Relationship Id="rId15" Type="http://schemas.openxmlformats.org/officeDocument/2006/relationships/image" Target="media/image5.jpeg"/><Relationship Id="rId16" Type="http://schemas.openxmlformats.org/officeDocument/2006/relationships/image" Target="media/image6.jpeg"/><Relationship Id="rId17" Type="http://schemas.openxmlformats.org/officeDocument/2006/relationships/image" Target="media/image7.jpeg"/><Relationship Id="rId18" Type="http://schemas.openxmlformats.org/officeDocument/2006/relationships/fontTable" Target="fontTable.xml"/><Relationship Id="rId1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22</Pages>
  <Words>160794</Words>
  <Characters>878363</Characters>
  <CharactersWithSpaces>1039619</CharactersWithSpaces>
  <Paragraphs>6292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