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176501.xml.htm"/>
      <w:bookmarkStart w:id="1" w:name="kswkform4a_1787176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Ganesan Satish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08/19/2025</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95,973</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corrects the Amount of Securities Beneficially Owned as shown on the Form 4 filed by the reporting person on August 19, 2025 and subsequent filings to remove 4,108 performance stock units that were inadvertently included due to an administrative error. The performance stock units were not earned because the applicable performance goals were not achieved.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Senior Vice President, General Manager Edge Interface &amp; Sensing Division, and Chief Strategy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633"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3472</Characters>
  <CharactersWithSpaces>4042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