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80894_425.htm"/>
      <w:bookmarkStart w:id="1" w:name="ksef20080894_425"/>
      <w:bookmarkStart w:id="2" w:name="ef20080894_425.htm"/>
      <w:bookmarkStart w:id="3" w:name="ksef20080894_425"/>
      <w:bookmarkEnd w:id="2"/>
      <w:bookmarkEnd w:id="3"/>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Filed pursuant to Rule 425 under the</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Securities Act of 1933, as amended, and</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deemed filed under Rule 14a-12 under the</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Securities Exchange Act of 1934, as amended</w:t>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Filer: Synaptics Incorporated</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Commission File No.: 000-49602</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 xml:space="preserve">Registration Statement File No.: </w:t>
      </w:r>
      <w:r>
        <w:rPr>
          <w:rFonts w:ascii="Times New Roman;Times;serif" w:hAnsi="Times New Roman;Times;serif"/>
          <w:color w:val="000000"/>
          <w:sz w:val="20"/>
          <w:u w:val="single"/>
        </w:rPr>
        <w:t>333-298477</w:t>
      </w:r>
    </w:p>
    <w:p>
      <w:pPr>
        <w:pStyle w:val="TextBody"/>
        <w:bidi w:val="0"/>
        <w:spacing w:before="0" w:after="0"/>
        <w:jc w:val="left"/>
        <w:rPr/>
      </w:pPr>
      <w:r>
        <w:rPr/>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Subject Company: Synaptics Incorporated</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The following are the contents of an e-mail and FAQ sent by the CEO of Synaptics Incorporated to employees of Synaptics Incorporated on August 27, 2026.</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Subject: Another step towards completing our transaction with onsemi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Team #OneSynaptics,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I’m writing to provide you with an update on the progress we have been making towards completing our previously announced transaction with onsemi.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onsemi recently filed a Form S-4 registration statement with the U.S. Securities and Exchange Commission (SEC), including a preliminary proxy statement of Synaptics that also serves as a preliminary prospectus of onsemi. This filing is a standard way publicly traded companies communicate with investors about the background and rationale for a transaction, as well as new securities that will be issued in connection with a transaction. Once the S-4 registration statement clears the SEC review process, our definitive proxy statement will be mailed to all of our shareholders, including employees who own SYNA stock. This will be separate from the definitive proxy statement for Synaptics’ annual meeting.</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initial filing represents an important milestone on the road to completing our combination with onsemi, and we remain on track to close the transaction in mid-2027. Until then, we are continuing to operate as separate, independent companies, and it remains business as usual at Synaptics. All day-to-day responsibilities and reporting structures remain the same, and I ask that you continue to remain focused on executing our strategy, delivering for our customers, and advancing our product roadmaps.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Attached to this email you will find an FAQ document that addresses some key questions we’ve received following the initial announcement. We will continue to keep you informed of any notable developments.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want to emphasize that this exciting transaction with onsemi would not be possible without the hard work of our talented team. Thank you for your continued focus and dedication to Synaptics.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Best regards,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Rahul</w:t>
      </w:r>
    </w:p>
    <w:p>
      <w:pPr>
        <w:pStyle w:val="TextBody"/>
        <w:bidi w:val="0"/>
        <w:spacing w:before="0" w:after="0"/>
        <w:jc w:val="left"/>
        <w:rPr/>
      </w:pPr>
      <w:r>
        <w:rPr/>
      </w:r>
    </w:p>
    <w:p>
      <w:pPr>
        <w:pStyle w:val="TextBody"/>
        <w:bidi w:val="0"/>
        <w:jc w:val="left"/>
        <w:rPr>
          <w:rFonts w:ascii="Times New Roman;Times;serif" w:hAnsi="Times New Roman;Times;serif"/>
          <w:i/>
          <w:color w:val="000000"/>
          <w:sz w:val="20"/>
        </w:rPr>
      </w:pPr>
      <w:r>
        <w:rPr>
          <w:rFonts w:ascii="Times New Roman;Times;serif" w:hAnsi="Times New Roman;Times;serif"/>
          <w:i/>
          <w:color w:val="000000"/>
          <w:sz w:val="20"/>
        </w:rPr>
        <w:t>Note: In accordance with our corporate policy, if you receive any media inquiries, please do not respond and direct them to Neeta Shenoy at neeta.shenoy@synaptics.com. All investor inquiries should be forwarded to Munjal Shah at munjal.shah@synaptics.com.</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Additional Employee FAQs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We’re excited about our combination with onsemi and what the transaction means for the next chapter in Synaptics’ journey. After receiving follow-up questions from team members and in connection with the initial filing of the S-4, we have addressed additional inquiries below. We look forward to sharing more information on our path towards closing the transaction, which we continue to expect to occur in mid-2027.</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b0ef32b3cac641e288b9193815d7854c"/>
      <w:bookmarkStart w:id="5" w:name="zb0ef32b3cac641e288b9193815d7854c"/>
      <w:bookmarkEnd w:id="5"/>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b/>
              </w:rPr>
            </w:pPr>
            <w:r>
              <w:rPr>
                <w:b/>
              </w:rPr>
              <w:t>1.</w:t>
            </w:r>
          </w:p>
        </w:tc>
        <w:tc>
          <w:tcPr>
            <w:tcW w:w="2210" w:type="dxa"/>
            <w:tcBorders/>
            <w:vAlign w:val="center"/>
          </w:tcPr>
          <w:p>
            <w:pPr>
              <w:pStyle w:val="TableContents"/>
              <w:bidi w:val="0"/>
              <w:spacing w:before="0" w:after="0"/>
              <w:jc w:val="left"/>
              <w:rPr>
                <w:b/>
              </w:rPr>
            </w:pPr>
            <w:r>
              <w:rPr>
                <w:b/>
              </w:rPr>
              <w:t>What is an S-4 filing?</w:t>
            </w:r>
          </w:p>
        </w:tc>
      </w:tr>
    </w:tbl>
    <w:p>
      <w:pPr>
        <w:pStyle w:val="Normal"/>
        <w:bidi w:val="0"/>
        <w:spacing w:before="0" w:after="0"/>
        <w:jc w:val="left"/>
        <w:rPr>
          <w:sz w:val="4"/>
          <w:szCs w:val="4"/>
        </w:rPr>
      </w:pPr>
      <w:r>
        <w:rPr>
          <w:sz w:val="4"/>
          <w:szCs w:val="4"/>
        </w:rPr>
      </w:r>
      <w:bookmarkStart w:id="6" w:name="z0a06fa8fed6247aa88fa72a2fcd8f24a"/>
      <w:bookmarkStart w:id="7" w:name="z0a06fa8fed6247aa88fa72a2fcd8f24a"/>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 S-4 filing is a detailed document that publicly traded companies are required to file with the SEC when planning to issue stock as part of a merger or acquisition.</w:t>
            </w:r>
          </w:p>
        </w:tc>
      </w:tr>
    </w:tbl>
    <w:p>
      <w:pPr>
        <w:pStyle w:val="Normal"/>
        <w:bidi w:val="0"/>
        <w:spacing w:before="0" w:after="0"/>
        <w:jc w:val="left"/>
        <w:rPr>
          <w:sz w:val="4"/>
          <w:szCs w:val="4"/>
        </w:rPr>
      </w:pPr>
      <w:r>
        <w:rPr>
          <w:sz w:val="4"/>
          <w:szCs w:val="4"/>
        </w:rPr>
      </w:r>
      <w:bookmarkStart w:id="8" w:name="zabb48e263d3149cb952c564fab0f58c2"/>
      <w:bookmarkStart w:id="9" w:name="zabb48e263d3149cb952c564fab0f58c2"/>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filing will register the stock being issued in connection with the merger or acquisition and provide comprehensive information about the transaction, including transaction terms and risk factors.</w:t>
            </w:r>
          </w:p>
        </w:tc>
      </w:tr>
    </w:tbl>
    <w:p>
      <w:pPr>
        <w:pStyle w:val="Normal"/>
        <w:bidi w:val="0"/>
        <w:spacing w:before="0" w:after="0"/>
        <w:jc w:val="left"/>
        <w:rPr>
          <w:sz w:val="4"/>
          <w:szCs w:val="4"/>
        </w:rPr>
      </w:pPr>
      <w:r>
        <w:rPr>
          <w:sz w:val="4"/>
          <w:szCs w:val="4"/>
        </w:rPr>
      </w:r>
      <w:bookmarkStart w:id="10" w:name="zae42a7923e64490a8fcbc7694816dc93"/>
      <w:bookmarkStart w:id="11" w:name="zae42a7923e64490a8fcbc7694816dc93"/>
      <w:bookmarkEnd w:id="11"/>
    </w:p>
    <w:tbl>
      <w:tblPr>
        <w:tblW w:w="4953" w:type="dxa"/>
        <w:jc w:val="left"/>
        <w:tblInd w:w="0" w:type="dxa"/>
        <w:tblLayout w:type="fixed"/>
        <w:tblCellMar>
          <w:top w:w="0" w:type="dxa"/>
          <w:left w:w="0" w:type="dxa"/>
          <w:bottom w:w="0" w:type="dxa"/>
          <w:right w:w="0" w:type="dxa"/>
        </w:tblCellMar>
      </w:tblPr>
      <w:tblGrid>
        <w:gridCol w:w="38"/>
        <w:gridCol w:w="110"/>
        <w:gridCol w:w="4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left"/>
              <w:rPr/>
            </w:pPr>
            <w:r>
              <w:rPr/>
              <w:t>The S-4 filing can be found on the SEC’s website.</w:t>
            </w:r>
          </w:p>
        </w:tc>
      </w:tr>
    </w:tbl>
    <w:p>
      <w:pPr>
        <w:pStyle w:val="Normal"/>
        <w:bidi w:val="0"/>
        <w:spacing w:before="0" w:after="0"/>
        <w:jc w:val="left"/>
        <w:rPr>
          <w:sz w:val="4"/>
          <w:szCs w:val="4"/>
        </w:rPr>
      </w:pPr>
      <w:r>
        <w:rPr>
          <w:sz w:val="4"/>
          <w:szCs w:val="4"/>
        </w:rPr>
      </w:r>
      <w:bookmarkStart w:id="12" w:name="z340ef25efd144f3ca5eb580669d41315"/>
      <w:bookmarkStart w:id="13" w:name="z340ef25efd144f3ca5eb580669d41315"/>
      <w:bookmarkEnd w:id="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This filing is preliminary and has not been declared effective by the SEC. It is subject to update, and there will be additional related filings to come.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d3e734834f15420c95e7e23faef70a01"/>
      <w:bookmarkStart w:id="15" w:name="zd3e734834f15420c95e7e23faef70a01"/>
      <w:bookmarkEnd w:id="15"/>
    </w:p>
    <w:tbl>
      <w:tblPr>
        <w:tblW w:w="8755" w:type="dxa"/>
        <w:jc w:val="left"/>
        <w:tblInd w:w="0" w:type="dxa"/>
        <w:tblLayout w:type="fixed"/>
        <w:tblCellMar>
          <w:top w:w="0" w:type="dxa"/>
          <w:left w:w="0" w:type="dxa"/>
          <w:bottom w:w="0" w:type="dxa"/>
          <w:right w:w="0" w:type="dxa"/>
        </w:tblCellMar>
      </w:tblPr>
      <w:tblGrid>
        <w:gridCol w:w="215"/>
        <w:gridCol w:w="8540"/>
      </w:tblGrid>
      <w:tr>
        <w:trPr/>
        <w:tc>
          <w:tcPr>
            <w:tcW w:w="215" w:type="dxa"/>
            <w:tcBorders/>
            <w:vAlign w:val="center"/>
          </w:tcPr>
          <w:p>
            <w:pPr>
              <w:pStyle w:val="TableContents"/>
              <w:bidi w:val="0"/>
              <w:spacing w:before="0" w:after="283"/>
              <w:jc w:val="left"/>
              <w:rPr>
                <w:b/>
              </w:rPr>
            </w:pPr>
            <w:r>
              <w:rPr>
                <w:b/>
              </w:rPr>
              <w:t>2.</w:t>
            </w:r>
          </w:p>
        </w:tc>
        <w:tc>
          <w:tcPr>
            <w:tcW w:w="8540" w:type="dxa"/>
            <w:tcBorders/>
            <w:vAlign w:val="center"/>
          </w:tcPr>
          <w:p>
            <w:pPr>
              <w:pStyle w:val="TableContents"/>
              <w:bidi w:val="0"/>
              <w:spacing w:before="0" w:after="0"/>
              <w:jc w:val="left"/>
              <w:rPr>
                <w:b/>
              </w:rPr>
            </w:pPr>
            <w:r>
              <w:rPr>
                <w:b/>
              </w:rPr>
              <w:t>What does the combination of onsemi and Synaptics mean for Synaptics employees?</w:t>
            </w:r>
          </w:p>
        </w:tc>
      </w:tr>
    </w:tbl>
    <w:p>
      <w:pPr>
        <w:pStyle w:val="Normal"/>
        <w:bidi w:val="0"/>
        <w:spacing w:before="0" w:after="0"/>
        <w:jc w:val="left"/>
        <w:rPr>
          <w:sz w:val="4"/>
          <w:szCs w:val="4"/>
        </w:rPr>
      </w:pPr>
      <w:r>
        <w:rPr>
          <w:sz w:val="4"/>
          <w:szCs w:val="4"/>
        </w:rPr>
      </w:r>
      <w:bookmarkStart w:id="16" w:name="zab8ae8e2d68f4e1da2919f2f178cde4c"/>
      <w:bookmarkStart w:id="17" w:name="zab8ae8e2d68f4e1da2919f2f178cde4c"/>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This transaction reflects the strength of Synaptics’ business, technology portfolio, growth prospects, and the significant opportunity we see for our business.</w:t>
            </w:r>
          </w:p>
        </w:tc>
      </w:tr>
    </w:tbl>
    <w:p>
      <w:pPr>
        <w:pStyle w:val="Normal"/>
        <w:bidi w:val="0"/>
        <w:spacing w:before="0" w:after="0"/>
        <w:jc w:val="left"/>
        <w:rPr>
          <w:sz w:val="4"/>
          <w:szCs w:val="4"/>
        </w:rPr>
      </w:pPr>
      <w:r>
        <w:rPr>
          <w:sz w:val="4"/>
          <w:szCs w:val="4"/>
        </w:rPr>
      </w:r>
      <w:bookmarkStart w:id="18" w:name="z89e5d941fcd04f35841cfc982d0b0717"/>
      <w:bookmarkStart w:id="19" w:name="z89e5d941fcd04f35841cfc982d0b0717"/>
      <w:bookmarkEnd w:id="1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Joining a large organization often brings expanded career pathways, greater organizational resources and capabilities, and increased opportunities to innovate.</w:t>
            </w:r>
          </w:p>
        </w:tc>
      </w:tr>
    </w:tbl>
    <w:p>
      <w:pPr>
        <w:pStyle w:val="Normal"/>
        <w:bidi w:val="0"/>
        <w:spacing w:before="0" w:after="0"/>
        <w:jc w:val="left"/>
        <w:rPr>
          <w:sz w:val="4"/>
          <w:szCs w:val="4"/>
        </w:rPr>
      </w:pPr>
      <w:r>
        <w:rPr>
          <w:sz w:val="4"/>
          <w:szCs w:val="4"/>
        </w:rPr>
      </w:r>
      <w:bookmarkStart w:id="20" w:name="zee681e275fa340a7b299e3b44ed8b0d5"/>
      <w:bookmarkStart w:id="21" w:name="zee681e275fa340a7b299e3b44ed8b0d5"/>
      <w:bookmarkEnd w:id="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This transaction does not change our day-to-day responsibilities or reporting structure. Until the transaction closes, onsemi and Synaptics will continue to operate as separate and independent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7bd9cad9e99c495d827e2c019d516e50"/>
      <w:bookmarkStart w:id="23" w:name="z7bd9cad9e99c495d827e2c019d516e50"/>
      <w:bookmarkEnd w:id="23"/>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b/>
              </w:rPr>
            </w:pPr>
            <w:r>
              <w:rPr>
                <w:b/>
              </w:rPr>
              <w:t>3.</w:t>
            </w:r>
          </w:p>
        </w:tc>
        <w:tc>
          <w:tcPr>
            <w:tcW w:w="10015" w:type="dxa"/>
            <w:tcBorders/>
            <w:vAlign w:val="center"/>
          </w:tcPr>
          <w:p>
            <w:pPr>
              <w:pStyle w:val="TableContents"/>
              <w:bidi w:val="0"/>
              <w:spacing w:before="0" w:after="0"/>
              <w:jc w:val="left"/>
              <w:rPr>
                <w:b/>
              </w:rPr>
            </w:pPr>
            <w:r>
              <w:rPr>
                <w:b/>
              </w:rPr>
              <w:t>How did this transaction come about? Did Synaptics consider combining or partnering with other companies? Were there other interested buyers for Synaptics?</w:t>
            </w:r>
          </w:p>
        </w:tc>
      </w:tr>
    </w:tbl>
    <w:p>
      <w:pPr>
        <w:pStyle w:val="Normal"/>
        <w:bidi w:val="0"/>
        <w:spacing w:before="0" w:after="0"/>
        <w:jc w:val="left"/>
        <w:rPr>
          <w:sz w:val="4"/>
          <w:szCs w:val="4"/>
        </w:rPr>
      </w:pPr>
      <w:r>
        <w:rPr>
          <w:sz w:val="4"/>
          <w:szCs w:val="4"/>
        </w:rPr>
      </w:r>
      <w:bookmarkStart w:id="24" w:name="z3e16d58700904c75868183c559088557"/>
      <w:bookmarkStart w:id="25" w:name="z3e16d58700904c75868183c559088557"/>
      <w:bookmarkEnd w:id="25"/>
    </w:p>
    <w:tbl>
      <w:tblPr>
        <w:tblW w:w="9888" w:type="dxa"/>
        <w:jc w:val="left"/>
        <w:tblInd w:w="0" w:type="dxa"/>
        <w:tblLayout w:type="fixed"/>
        <w:tblCellMar>
          <w:top w:w="0" w:type="dxa"/>
          <w:left w:w="0" w:type="dxa"/>
          <w:bottom w:w="0" w:type="dxa"/>
          <w:right w:w="0" w:type="dxa"/>
        </w:tblCellMar>
      </w:tblPr>
      <w:tblGrid>
        <w:gridCol w:w="38"/>
        <w:gridCol w:w="110"/>
        <w:gridCol w:w="97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0"/>
              <w:ind w:left="0" w:right="0" w:hanging="0"/>
              <w:jc w:val="left"/>
              <w:rPr>
                <w:rFonts w:ascii="Times New Roman" w:hAnsi="Times New Roman"/>
              </w:rPr>
            </w:pPr>
            <w:r>
              <w:rPr>
                <w:rFonts w:ascii="Times New Roman" w:hAnsi="Times New Roman"/>
              </w:rPr>
              <w:t>Our Board conducted a thorough process and evaluation when determining to approve this transaction.</w:t>
            </w:r>
          </w:p>
        </w:tc>
      </w:tr>
    </w:tbl>
    <w:p>
      <w:pPr>
        <w:pStyle w:val="Normal"/>
        <w:bidi w:val="0"/>
        <w:spacing w:before="0" w:after="0"/>
        <w:jc w:val="left"/>
        <w:rPr>
          <w:sz w:val="4"/>
          <w:szCs w:val="4"/>
        </w:rPr>
      </w:pPr>
      <w:r>
        <w:rPr>
          <w:sz w:val="4"/>
          <w:szCs w:val="4"/>
        </w:rPr>
      </w:r>
      <w:bookmarkStart w:id="26" w:name="z7fba3a4061c84f4a97e145d14748ce5f"/>
      <w:bookmarkStart w:id="27" w:name="z7fba3a4061c84f4a97e145d14748ce5f"/>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Board unanimously determined that the Merger Agreement with onsemi was in the best interests of our shareholders and was the best available alternative for our shareholders.</w:t>
            </w:r>
          </w:p>
        </w:tc>
      </w:tr>
    </w:tbl>
    <w:p>
      <w:pPr>
        <w:pStyle w:val="Normal"/>
        <w:bidi w:val="0"/>
        <w:spacing w:before="0" w:after="0"/>
        <w:jc w:val="left"/>
        <w:rPr>
          <w:sz w:val="4"/>
          <w:szCs w:val="4"/>
        </w:rPr>
      </w:pPr>
      <w:r>
        <w:rPr>
          <w:sz w:val="4"/>
          <w:szCs w:val="4"/>
        </w:rPr>
      </w:r>
      <w:bookmarkStart w:id="28" w:name="z90b60115cbdc43549ba1b28c16c045bc"/>
      <w:bookmarkStart w:id="29" w:name="z90b60115cbdc43549ba1b28c16c045bc"/>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S-4 filed with the SEC has details regarding the background of the process that resulted in the transaction with onsemi.</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ac1e365a89fd48aea45369aa1dd5f0a6"/>
      <w:bookmarkStart w:id="31" w:name="zac1e365a89fd48aea45369aa1dd5f0a6"/>
      <w:bookmarkEnd w:id="31"/>
    </w:p>
    <w:tbl>
      <w:tblPr>
        <w:tblW w:w="4975" w:type="dxa"/>
        <w:jc w:val="left"/>
        <w:tblInd w:w="0" w:type="dxa"/>
        <w:tblLayout w:type="fixed"/>
        <w:tblCellMar>
          <w:top w:w="0" w:type="dxa"/>
          <w:left w:w="0" w:type="dxa"/>
          <w:bottom w:w="0" w:type="dxa"/>
          <w:right w:w="0" w:type="dxa"/>
        </w:tblCellMar>
      </w:tblPr>
      <w:tblGrid>
        <w:gridCol w:w="215"/>
        <w:gridCol w:w="4760"/>
      </w:tblGrid>
      <w:tr>
        <w:trPr/>
        <w:tc>
          <w:tcPr>
            <w:tcW w:w="215" w:type="dxa"/>
            <w:tcBorders/>
            <w:vAlign w:val="center"/>
          </w:tcPr>
          <w:p>
            <w:pPr>
              <w:pStyle w:val="TableContents"/>
              <w:bidi w:val="0"/>
              <w:spacing w:before="0" w:after="283"/>
              <w:jc w:val="left"/>
              <w:rPr>
                <w:b/>
              </w:rPr>
            </w:pPr>
            <w:r>
              <w:rPr>
                <w:b/>
              </w:rPr>
              <w:t>4.</w:t>
            </w:r>
          </w:p>
        </w:tc>
        <w:tc>
          <w:tcPr>
            <w:tcW w:w="4760" w:type="dxa"/>
            <w:tcBorders/>
            <w:vAlign w:val="center"/>
          </w:tcPr>
          <w:p>
            <w:pPr>
              <w:pStyle w:val="TableContents"/>
              <w:bidi w:val="0"/>
              <w:spacing w:before="0" w:after="0"/>
              <w:jc w:val="left"/>
              <w:rPr>
                <w:b/>
              </w:rPr>
            </w:pPr>
            <w:r>
              <w:rPr>
                <w:b/>
              </w:rPr>
              <w:t>Why is now the right time for this transaction?</w:t>
            </w:r>
          </w:p>
        </w:tc>
      </w:tr>
    </w:tbl>
    <w:p>
      <w:pPr>
        <w:pStyle w:val="Normal"/>
        <w:bidi w:val="0"/>
        <w:spacing w:before="0" w:after="0"/>
        <w:jc w:val="left"/>
        <w:rPr>
          <w:sz w:val="4"/>
          <w:szCs w:val="4"/>
        </w:rPr>
      </w:pPr>
      <w:r>
        <w:rPr>
          <w:sz w:val="4"/>
          <w:szCs w:val="4"/>
        </w:rPr>
      </w:r>
      <w:bookmarkStart w:id="32" w:name="z48d1ac86e32b4bf5936495c861bd1fcf"/>
      <w:bookmarkStart w:id="33" w:name="z48d1ac86e32b4bf5936495c861bd1fcf"/>
      <w:bookmarkEnd w:id="33"/>
    </w:p>
    <w:tbl>
      <w:tblPr>
        <w:tblW w:w="9693" w:type="dxa"/>
        <w:jc w:val="left"/>
        <w:tblInd w:w="0" w:type="dxa"/>
        <w:tblLayout w:type="fixed"/>
        <w:tblCellMar>
          <w:top w:w="0" w:type="dxa"/>
          <w:left w:w="0" w:type="dxa"/>
          <w:bottom w:w="0" w:type="dxa"/>
          <w:right w:w="0" w:type="dxa"/>
        </w:tblCellMar>
      </w:tblPr>
      <w:tblGrid>
        <w:gridCol w:w="38"/>
        <w:gridCol w:w="110"/>
        <w:gridCol w:w="9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0"/>
              <w:jc w:val="left"/>
              <w:rPr/>
            </w:pPr>
            <w:r>
              <w:rPr/>
              <w:t>Our Board and management team believe that the opportunity in Physical AI is at an inflection point.</w:t>
            </w:r>
          </w:p>
        </w:tc>
      </w:tr>
    </w:tbl>
    <w:p>
      <w:pPr>
        <w:pStyle w:val="Normal"/>
        <w:bidi w:val="0"/>
        <w:spacing w:before="0" w:after="0"/>
        <w:jc w:val="left"/>
        <w:rPr>
          <w:sz w:val="4"/>
          <w:szCs w:val="4"/>
        </w:rPr>
      </w:pPr>
      <w:r>
        <w:rPr>
          <w:sz w:val="4"/>
          <w:szCs w:val="4"/>
        </w:rPr>
      </w:r>
      <w:bookmarkStart w:id="34" w:name="z442591e2909a4794a317a00dadff8e2b"/>
      <w:bookmarkStart w:id="35" w:name="z442591e2909a4794a317a00dadff8e2b"/>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AI moves from the data center into the physical world in robotics, autonomous vehicles, industrial automation, and intelligent edge devices, the window to establish a strong position is now.</w:t>
            </w:r>
          </w:p>
        </w:tc>
      </w:tr>
    </w:tbl>
    <w:p>
      <w:pPr>
        <w:pStyle w:val="Normal"/>
        <w:bidi w:val="0"/>
        <w:spacing w:before="0" w:after="0"/>
        <w:jc w:val="left"/>
        <w:rPr>
          <w:sz w:val="4"/>
          <w:szCs w:val="4"/>
        </w:rPr>
      </w:pPr>
      <w:r>
        <w:rPr>
          <w:sz w:val="4"/>
          <w:szCs w:val="4"/>
        </w:rPr>
      </w:r>
      <w:bookmarkStart w:id="36" w:name="z12877a36d9ac4dc882a2e27a2ff05154"/>
      <w:bookmarkStart w:id="37" w:name="z12877a36d9ac4dc882a2e27a2ff05154"/>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Synaptics’ Astra AI-native platform is gaining solid momentum, but capturing that full opportunity at scale requires the distribution reach, customer relationships, and manufacturing capabilities that onsemi brings.</w:t>
            </w:r>
          </w:p>
        </w:tc>
      </w:tr>
    </w:tbl>
    <w:p>
      <w:pPr>
        <w:pStyle w:val="Normal"/>
        <w:bidi w:val="0"/>
        <w:spacing w:before="0" w:after="0"/>
        <w:jc w:val="left"/>
        <w:rPr>
          <w:sz w:val="4"/>
          <w:szCs w:val="4"/>
        </w:rPr>
      </w:pPr>
      <w:r>
        <w:rPr>
          <w:sz w:val="4"/>
          <w:szCs w:val="4"/>
        </w:rPr>
      </w:r>
      <w:bookmarkStart w:id="38" w:name="z486e05a1b33b46768e0624d87aef71d3"/>
      <w:bookmarkStart w:id="39" w:name="z486e05a1b33b46768e0624d87aef71d3"/>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Building that infrastructure independently would take time, while this transaction with onsemi provides it from the start.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0" w:name="zfa670719bf4b4acdb8d141d374e8ddcb"/>
      <w:bookmarkStart w:id="41" w:name="zfa670719bf4b4acdb8d141d374e8ddcb"/>
      <w:bookmarkEnd w:id="41"/>
    </w:p>
    <w:tbl>
      <w:tblPr>
        <w:tblW w:w="8935" w:type="dxa"/>
        <w:jc w:val="left"/>
        <w:tblInd w:w="0" w:type="dxa"/>
        <w:tblLayout w:type="fixed"/>
        <w:tblCellMar>
          <w:top w:w="0" w:type="dxa"/>
          <w:left w:w="0" w:type="dxa"/>
          <w:bottom w:w="0" w:type="dxa"/>
          <w:right w:w="0" w:type="dxa"/>
        </w:tblCellMar>
      </w:tblPr>
      <w:tblGrid>
        <w:gridCol w:w="215"/>
        <w:gridCol w:w="8720"/>
      </w:tblGrid>
      <w:tr>
        <w:trPr/>
        <w:tc>
          <w:tcPr>
            <w:tcW w:w="215" w:type="dxa"/>
            <w:tcBorders/>
            <w:vAlign w:val="center"/>
          </w:tcPr>
          <w:p>
            <w:pPr>
              <w:pStyle w:val="TableContents"/>
              <w:bidi w:val="0"/>
              <w:spacing w:before="0" w:after="283"/>
              <w:jc w:val="left"/>
              <w:rPr>
                <w:b/>
              </w:rPr>
            </w:pPr>
            <w:r>
              <w:rPr>
                <w:b/>
              </w:rPr>
              <w:t>5.</w:t>
            </w:r>
          </w:p>
        </w:tc>
        <w:tc>
          <w:tcPr>
            <w:tcW w:w="8720" w:type="dxa"/>
            <w:tcBorders/>
            <w:vAlign w:val="center"/>
          </w:tcPr>
          <w:p>
            <w:pPr>
              <w:pStyle w:val="TableContents"/>
              <w:bidi w:val="0"/>
              <w:spacing w:before="0" w:after="0"/>
              <w:jc w:val="left"/>
              <w:rPr>
                <w:b/>
              </w:rPr>
            </w:pPr>
            <w:r>
              <w:rPr>
                <w:b/>
              </w:rPr>
              <w:t>Why is onsemi the right partner for Synaptics? What is onsemi’s mission and culture?</w:t>
            </w:r>
          </w:p>
        </w:tc>
      </w:tr>
    </w:tbl>
    <w:p>
      <w:pPr>
        <w:pStyle w:val="Normal"/>
        <w:bidi w:val="0"/>
        <w:spacing w:before="0" w:after="0"/>
        <w:jc w:val="left"/>
        <w:rPr>
          <w:sz w:val="4"/>
          <w:szCs w:val="4"/>
        </w:rPr>
      </w:pPr>
      <w:r>
        <w:rPr>
          <w:sz w:val="4"/>
          <w:szCs w:val="4"/>
        </w:rPr>
      </w:r>
      <w:bookmarkStart w:id="42" w:name="zaeca490e21e449869ba210e9dc7ea73a"/>
      <w:bookmarkStart w:id="43" w:name="zaeca490e21e449869ba210e9dc7ea73a"/>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onsemi is a global leader in intelligent power and sensing technology, with a strong position across AI data centers, industrial, and automotive applications.</w:t>
            </w:r>
          </w:p>
        </w:tc>
      </w:tr>
    </w:tbl>
    <w:p>
      <w:pPr>
        <w:pStyle w:val="Normal"/>
        <w:bidi w:val="0"/>
        <w:spacing w:before="0" w:after="0"/>
        <w:jc w:val="left"/>
        <w:rPr>
          <w:sz w:val="4"/>
          <w:szCs w:val="4"/>
        </w:rPr>
      </w:pPr>
      <w:r>
        <w:rPr>
          <w:sz w:val="4"/>
          <w:szCs w:val="4"/>
        </w:rPr>
      </w:r>
      <w:bookmarkStart w:id="44" w:name="z2f38f618f4d74e5caa32afa534d05b92"/>
      <w:bookmarkStart w:id="45" w:name="z2f38f618f4d74e5caa32afa534d05b92"/>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onsemi’s intelligent power and sensing technologies are highly complementary to Synaptics’ differentiated Edge AI compute, connectivity, and human-machine interface solutions.</w:t>
            </w:r>
          </w:p>
        </w:tc>
      </w:tr>
    </w:tbl>
    <w:p>
      <w:pPr>
        <w:pStyle w:val="Normal"/>
        <w:bidi w:val="0"/>
        <w:spacing w:before="0" w:after="0"/>
        <w:jc w:val="left"/>
        <w:rPr>
          <w:sz w:val="4"/>
          <w:szCs w:val="4"/>
        </w:rPr>
      </w:pPr>
      <w:r>
        <w:rPr>
          <w:sz w:val="4"/>
          <w:szCs w:val="4"/>
        </w:rPr>
      </w:r>
      <w:bookmarkStart w:id="46" w:name="z6a162e25fb7548f6b78a69e93ac407f1"/>
      <w:bookmarkStart w:id="47" w:name="z6a162e25fb7548f6b78a69e93ac407f1"/>
      <w:bookmarkEnd w:id="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onsemi is headquartered in Scottsdale, AZ, with design centers, manufacturing facilities, sales offices, and support locations around the world.</w:t>
            </w:r>
          </w:p>
        </w:tc>
      </w:tr>
    </w:tbl>
    <w:p>
      <w:pPr>
        <w:pStyle w:val="Normal"/>
        <w:bidi w:val="0"/>
        <w:spacing w:before="0" w:after="0"/>
        <w:jc w:val="left"/>
        <w:rPr>
          <w:sz w:val="4"/>
          <w:szCs w:val="4"/>
        </w:rPr>
      </w:pPr>
      <w:r>
        <w:rPr>
          <w:sz w:val="4"/>
          <w:szCs w:val="4"/>
        </w:rPr>
      </w:r>
      <w:bookmarkStart w:id="48" w:name="zac8d032d4bc345e7b74ca298d0741c3b"/>
      <w:bookmarkStart w:id="49" w:name="zac8d032d4bc345e7b74ca298d0741c3b"/>
      <w:bookmarkEnd w:id="49"/>
    </w:p>
    <w:tbl>
      <w:tblPr>
        <w:tblW w:w="9693" w:type="dxa"/>
        <w:jc w:val="left"/>
        <w:tblInd w:w="0" w:type="dxa"/>
        <w:tblLayout w:type="fixed"/>
        <w:tblCellMar>
          <w:top w:w="0" w:type="dxa"/>
          <w:left w:w="0" w:type="dxa"/>
          <w:bottom w:w="0" w:type="dxa"/>
          <w:right w:w="0" w:type="dxa"/>
        </w:tblCellMar>
      </w:tblPr>
      <w:tblGrid>
        <w:gridCol w:w="38"/>
        <w:gridCol w:w="110"/>
        <w:gridCol w:w="95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0"/>
              <w:jc w:val="left"/>
              <w:rPr/>
            </w:pPr>
            <w:r>
              <w:rPr/>
              <w:t>onsemi and Synaptics share a common vision to develop integrated intelligent systems for customers.</w:t>
            </w:r>
          </w:p>
        </w:tc>
      </w:tr>
    </w:tbl>
    <w:p>
      <w:pPr>
        <w:pStyle w:val="Normal"/>
        <w:bidi w:val="0"/>
        <w:spacing w:before="0" w:after="0"/>
        <w:jc w:val="left"/>
        <w:rPr>
          <w:sz w:val="4"/>
          <w:szCs w:val="4"/>
        </w:rPr>
      </w:pPr>
      <w:r>
        <w:rPr>
          <w:sz w:val="4"/>
          <w:szCs w:val="4"/>
        </w:rPr>
      </w:r>
      <w:bookmarkStart w:id="50" w:name="zbbc1857f3cbe42b9959af57c358031da"/>
      <w:bookmarkStart w:id="51" w:name="zbbc1857f3cbe42b9959af57c358031da"/>
      <w:bookmarkEnd w:id="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are confident that our strong cultural alignment and shared commitment to innovation will be key to our mutual success.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zed3f954aff2e4bdab24de49f1e5820df"/>
      <w:bookmarkStart w:id="53" w:name="zed3f954aff2e4bdab24de49f1e5820df"/>
      <w:bookmarkEnd w:id="53"/>
    </w:p>
    <w:tbl>
      <w:tblPr>
        <w:tblW w:w="6130" w:type="dxa"/>
        <w:jc w:val="left"/>
        <w:tblInd w:w="0" w:type="dxa"/>
        <w:tblLayout w:type="fixed"/>
        <w:tblCellMar>
          <w:top w:w="0" w:type="dxa"/>
          <w:left w:w="0" w:type="dxa"/>
          <w:bottom w:w="0" w:type="dxa"/>
          <w:right w:w="0" w:type="dxa"/>
        </w:tblCellMar>
      </w:tblPr>
      <w:tblGrid>
        <w:gridCol w:w="215"/>
        <w:gridCol w:w="5915"/>
      </w:tblGrid>
      <w:tr>
        <w:trPr/>
        <w:tc>
          <w:tcPr>
            <w:tcW w:w="215" w:type="dxa"/>
            <w:tcBorders/>
            <w:vAlign w:val="center"/>
          </w:tcPr>
          <w:p>
            <w:pPr>
              <w:pStyle w:val="TableContents"/>
              <w:bidi w:val="0"/>
              <w:spacing w:before="0" w:after="283"/>
              <w:jc w:val="left"/>
              <w:rPr>
                <w:b/>
              </w:rPr>
            </w:pPr>
            <w:r>
              <w:rPr>
                <w:b/>
              </w:rPr>
              <w:t>6.</w:t>
            </w:r>
          </w:p>
        </w:tc>
        <w:tc>
          <w:tcPr>
            <w:tcW w:w="5915" w:type="dxa"/>
            <w:tcBorders/>
            <w:vAlign w:val="center"/>
          </w:tcPr>
          <w:p>
            <w:pPr>
              <w:pStyle w:val="TableContents"/>
              <w:bidi w:val="0"/>
              <w:spacing w:before="0" w:after="0"/>
              <w:jc w:val="left"/>
              <w:rPr>
                <w:b/>
              </w:rPr>
            </w:pPr>
            <w:r>
              <w:rPr>
                <w:b/>
              </w:rPr>
              <w:t>Why was an all-stock transaction the preferred structure?</w:t>
            </w:r>
          </w:p>
        </w:tc>
      </w:tr>
    </w:tbl>
    <w:p>
      <w:pPr>
        <w:pStyle w:val="Normal"/>
        <w:bidi w:val="0"/>
        <w:spacing w:before="0" w:after="0"/>
        <w:jc w:val="left"/>
        <w:rPr>
          <w:sz w:val="4"/>
          <w:szCs w:val="4"/>
        </w:rPr>
      </w:pPr>
      <w:r>
        <w:rPr>
          <w:sz w:val="4"/>
          <w:szCs w:val="4"/>
        </w:rPr>
      </w:r>
      <w:bookmarkStart w:id="54" w:name="z0fba7935b9b54f7081d52f501da3bd59"/>
      <w:bookmarkStart w:id="55" w:name="z0fba7935b9b54f7081d52f501da3bd59"/>
      <w:bookmarkEnd w:id="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all-stock structure of the transaction will enable Synaptics shareholders to participate in the future growth and upside of the combined company.</w:t>
            </w:r>
          </w:p>
        </w:tc>
      </w:tr>
    </w:tbl>
    <w:p>
      <w:pPr>
        <w:pStyle w:val="Normal"/>
        <w:bidi w:val="0"/>
        <w:spacing w:before="0" w:after="0"/>
        <w:jc w:val="left"/>
        <w:rPr>
          <w:sz w:val="4"/>
          <w:szCs w:val="4"/>
        </w:rPr>
      </w:pPr>
      <w:r>
        <w:rPr>
          <w:sz w:val="4"/>
          <w:szCs w:val="4"/>
        </w:rPr>
      </w:r>
      <w:bookmarkStart w:id="56" w:name="zfff39e312df940a1a52f3794335ea416"/>
      <w:bookmarkStart w:id="57" w:name="zfff39e312df940a1a52f3794335ea416"/>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see significant growth potential for the combined company, which will offer customers integrated solutions and development platforms across every layer of the Edge AI stack, deepening customer engagement and expanding across a greater total addressable market.</w:t>
            </w:r>
          </w:p>
        </w:tc>
      </w:tr>
    </w:tbl>
    <w:p>
      <w:pPr>
        <w:pStyle w:val="Normal"/>
        <w:bidi w:val="0"/>
        <w:spacing w:before="0" w:after="0"/>
        <w:jc w:val="left"/>
        <w:rPr>
          <w:sz w:val="4"/>
          <w:szCs w:val="4"/>
        </w:rPr>
      </w:pPr>
      <w:r>
        <w:rPr>
          <w:sz w:val="4"/>
          <w:szCs w:val="4"/>
        </w:rPr>
      </w:r>
      <w:bookmarkStart w:id="58" w:name="z43b96330e25f4b54a15b5038e0f04224"/>
      <w:bookmarkStart w:id="59" w:name="z43b96330e25f4b54a15b5038e0f04224"/>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Leveraging onsemi’s global customer relationships, industrial channel reach, and manufacturing scale, we expect to accelerate growth and drive long-term shareholder value.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z5394f1ea3c5c4ec8be5c2951bce8adc1"/>
      <w:bookmarkStart w:id="61" w:name="z5394f1ea3c5c4ec8be5c2951bce8adc1"/>
      <w:bookmarkEnd w:id="61"/>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b/>
              </w:rPr>
            </w:pPr>
            <w:r>
              <w:rPr>
                <w:b/>
              </w:rPr>
              <w:t>7.</w:t>
            </w:r>
          </w:p>
        </w:tc>
        <w:tc>
          <w:tcPr>
            <w:tcW w:w="9998" w:type="dxa"/>
            <w:tcBorders/>
            <w:vAlign w:val="center"/>
          </w:tcPr>
          <w:p>
            <w:pPr>
              <w:pStyle w:val="TableContents"/>
              <w:bidi w:val="0"/>
              <w:spacing w:before="0" w:after="0"/>
              <w:jc w:val="left"/>
              <w:rPr>
                <w:b/>
              </w:rPr>
            </w:pPr>
            <w:r>
              <w:rPr>
                <w:b/>
              </w:rPr>
              <w:t>Where do you see the business headed in the intermediate term? What is the strategic opportunity with onsemi?</w:t>
            </w:r>
          </w:p>
        </w:tc>
      </w:tr>
    </w:tbl>
    <w:p>
      <w:pPr>
        <w:pStyle w:val="Normal"/>
        <w:bidi w:val="0"/>
        <w:spacing w:before="0" w:after="0"/>
        <w:jc w:val="left"/>
        <w:rPr>
          <w:sz w:val="4"/>
          <w:szCs w:val="4"/>
        </w:rPr>
      </w:pPr>
      <w:r>
        <w:rPr>
          <w:sz w:val="4"/>
          <w:szCs w:val="4"/>
        </w:rPr>
      </w:r>
      <w:bookmarkStart w:id="62" w:name="ze8a754aa575d486d83b22e619ce2c5c5"/>
      <w:bookmarkStart w:id="63" w:name="ze8a754aa575d486d83b22e619ce2c5c5"/>
      <w:bookmarkEnd w:id="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 standalone company, Synaptics is well positioned to continue executing its strategy focused on Physical AI and Edge AI. Over the past year, our leadership has consistently communicated our strategy to expand focus on new growth markets.</w:t>
            </w:r>
          </w:p>
        </w:tc>
      </w:tr>
    </w:tbl>
    <w:p>
      <w:pPr>
        <w:pStyle w:val="Normal"/>
        <w:bidi w:val="0"/>
        <w:spacing w:before="0" w:after="0"/>
        <w:jc w:val="left"/>
        <w:rPr>
          <w:sz w:val="4"/>
          <w:szCs w:val="4"/>
        </w:rPr>
      </w:pPr>
      <w:r>
        <w:rPr>
          <w:sz w:val="4"/>
          <w:szCs w:val="4"/>
        </w:rPr>
      </w:r>
      <w:bookmarkStart w:id="64" w:name="z3891397b8b6d47608f53d6fc6937e560"/>
      <w:bookmarkStart w:id="65" w:name="z3891397b8b6d47608f53d6fc6937e560"/>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Through this transaction with onsemi, Synaptics will be able to accelerate that focus and strategy as we bring together highly complementary technologies, customer relationships, and distribution networks.</w:t>
            </w:r>
          </w:p>
        </w:tc>
      </w:tr>
    </w:tbl>
    <w:p>
      <w:pPr>
        <w:pStyle w:val="Normal"/>
        <w:bidi w:val="0"/>
        <w:spacing w:before="0" w:after="0"/>
        <w:jc w:val="left"/>
        <w:rPr>
          <w:sz w:val="4"/>
          <w:szCs w:val="4"/>
        </w:rPr>
      </w:pPr>
      <w:r>
        <w:rPr>
          <w:sz w:val="4"/>
          <w:szCs w:val="4"/>
        </w:rPr>
      </w:r>
      <w:bookmarkStart w:id="66" w:name="z11d7307847c4474c907355f987e95ed6"/>
      <w:bookmarkStart w:id="67" w:name="z11d7307847c4474c907355f987e95ed6"/>
      <w:bookmarkEnd w:id="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Together, onsemi and Synaptics will become a leader in Intelligent Systems by integrating the four pillars of Physical AI: Power, Sense, Connected Compute, and Control.</w:t>
            </w:r>
          </w:p>
        </w:tc>
      </w:tr>
    </w:tbl>
    <w:p>
      <w:pPr>
        <w:pStyle w:val="Normal"/>
        <w:bidi w:val="0"/>
        <w:spacing w:before="0" w:after="0"/>
        <w:jc w:val="left"/>
        <w:rPr>
          <w:sz w:val="4"/>
          <w:szCs w:val="4"/>
        </w:rPr>
      </w:pPr>
      <w:r>
        <w:rPr>
          <w:sz w:val="4"/>
          <w:szCs w:val="4"/>
        </w:rPr>
      </w:r>
      <w:bookmarkStart w:id="68" w:name="z6be620f5580d48298369e5cc0be9e481"/>
      <w:bookmarkStart w:id="69" w:name="z6be620f5580d48298369e5cc0be9e481"/>
      <w:bookmarkEnd w:id="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 combined company, we expect to significantly expand our total addressable market and be able to offer customers complete system solutions that neither company could deliver independently.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dd77e7be3ce0454eb96400e7e0ec7e45"/>
      <w:bookmarkStart w:id="71" w:name="zdd77e7be3ce0454eb96400e7e0ec7e45"/>
      <w:bookmarkEnd w:id="71"/>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b/>
              </w:rPr>
            </w:pPr>
            <w:r>
              <w:rPr>
                <w:b/>
              </w:rPr>
              <w:t>8.</w:t>
            </w:r>
          </w:p>
        </w:tc>
        <w:tc>
          <w:tcPr>
            <w:tcW w:w="10014" w:type="dxa"/>
            <w:tcBorders/>
            <w:vAlign w:val="center"/>
          </w:tcPr>
          <w:p>
            <w:pPr>
              <w:pStyle w:val="TableContents"/>
              <w:bidi w:val="0"/>
              <w:spacing w:before="0" w:after="0"/>
              <w:jc w:val="left"/>
              <w:rPr>
                <w:b/>
              </w:rPr>
            </w:pPr>
            <w:r>
              <w:rPr>
                <w:b/>
              </w:rPr>
              <w:t>What will happen to Synaptics’ headquarters, offices, and facilities following closing of the transaction? Will employees have to relocate or change offices?</w:t>
            </w:r>
          </w:p>
        </w:tc>
      </w:tr>
    </w:tbl>
    <w:p>
      <w:pPr>
        <w:pStyle w:val="Normal"/>
        <w:bidi w:val="0"/>
        <w:spacing w:before="0" w:after="0"/>
        <w:jc w:val="left"/>
        <w:rPr>
          <w:sz w:val="4"/>
          <w:szCs w:val="4"/>
        </w:rPr>
      </w:pPr>
      <w:r>
        <w:rPr>
          <w:sz w:val="4"/>
          <w:szCs w:val="4"/>
        </w:rPr>
      </w:r>
      <w:bookmarkStart w:id="72" w:name="zbde1b8fd625a4156ac899c5b79baf69d"/>
      <w:bookmarkStart w:id="73" w:name="zbde1b8fd625a4156ac899c5b79baf69d"/>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Until the transaction closes, it is business as usual. San Jose remains our headquarters, and we continue to operate our business from our existing locations around the world.</w:t>
            </w:r>
          </w:p>
        </w:tc>
      </w:tr>
    </w:tbl>
    <w:p>
      <w:pPr>
        <w:pStyle w:val="Normal"/>
        <w:bidi w:val="0"/>
        <w:spacing w:before="0" w:after="0"/>
        <w:jc w:val="left"/>
        <w:rPr>
          <w:sz w:val="4"/>
          <w:szCs w:val="4"/>
        </w:rPr>
      </w:pPr>
      <w:r>
        <w:rPr>
          <w:sz w:val="4"/>
          <w:szCs w:val="4"/>
        </w:rPr>
      </w:r>
      <w:bookmarkStart w:id="74" w:name="za6a848a2271a451c930699b58a3a39a7"/>
      <w:bookmarkStart w:id="75" w:name="za6a848a2271a451c930699b58a3a39a7"/>
      <w:bookmarkEnd w:id="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onsemi is a global company with a significant presence across major technology, engineering, and manufacturing hubs around the world. Any decisions regarding the combined company's office footprint or facilities would be made as part of post-closing integration planning. It is too early to speculate on specific outcomes, and we will communicate any decisions if and when they are made.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6" w:name="zb6cc6980b62049799d02ed6c8ec389e5"/>
      <w:bookmarkStart w:id="77" w:name="zb6cc6980b62049799d02ed6c8ec389e5"/>
      <w:bookmarkEnd w:id="77"/>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b/>
              </w:rPr>
            </w:pPr>
            <w:r>
              <w:rPr>
                <w:b/>
              </w:rPr>
              <w:t>9.</w:t>
            </w:r>
          </w:p>
        </w:tc>
        <w:tc>
          <w:tcPr>
            <w:tcW w:w="9996" w:type="dxa"/>
            <w:tcBorders/>
            <w:vAlign w:val="center"/>
          </w:tcPr>
          <w:p>
            <w:pPr>
              <w:pStyle w:val="TableContents"/>
              <w:bidi w:val="0"/>
              <w:spacing w:before="0" w:after="0"/>
              <w:jc w:val="left"/>
              <w:rPr>
                <w:b/>
              </w:rPr>
            </w:pPr>
            <w:r>
              <w:rPr>
                <w:b/>
              </w:rPr>
              <w:t>Will my compensation and benefits (e.g., health insurance, 401(k), etc.) change once we’re a part of onsemi?</w:t>
            </w:r>
          </w:p>
        </w:tc>
      </w:tr>
    </w:tbl>
    <w:p>
      <w:pPr>
        <w:pStyle w:val="Normal"/>
        <w:bidi w:val="0"/>
        <w:spacing w:before="0" w:after="0"/>
        <w:jc w:val="left"/>
        <w:rPr>
          <w:sz w:val="4"/>
          <w:szCs w:val="4"/>
        </w:rPr>
      </w:pPr>
      <w:r>
        <w:rPr>
          <w:sz w:val="4"/>
          <w:szCs w:val="4"/>
        </w:rPr>
      </w:r>
      <w:bookmarkStart w:id="78" w:name="z919dd3218bd2431f906dc5d6fcd7067d"/>
      <w:bookmarkStart w:id="79" w:name="z919dd3218bd2431f906dc5d6fcd7067d"/>
      <w:bookmarkEnd w:id="7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There are no changes at this time to existing Synaptics employee compensation or benefits as a result of the transaction.</w:t>
            </w:r>
          </w:p>
        </w:tc>
      </w:tr>
    </w:tbl>
    <w:p>
      <w:pPr>
        <w:pStyle w:val="Normal"/>
        <w:bidi w:val="0"/>
        <w:spacing w:before="0" w:after="0"/>
        <w:jc w:val="left"/>
        <w:rPr>
          <w:sz w:val="4"/>
          <w:szCs w:val="4"/>
        </w:rPr>
      </w:pPr>
      <w:r>
        <w:rPr>
          <w:sz w:val="4"/>
          <w:szCs w:val="4"/>
        </w:rPr>
      </w:r>
      <w:bookmarkStart w:id="80" w:name="z56e1f4b542fd452195fc8ebf553432c0"/>
      <w:bookmarkStart w:id="81" w:name="z56e1f4b542fd452195fc8ebf553432c0"/>
      <w:bookmarkEnd w:id="8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Until the transaction closes, onsemi and Synaptics will continue to operate as separate and independent companies.</w:t>
            </w:r>
          </w:p>
        </w:tc>
      </w:tr>
    </w:tbl>
    <w:p>
      <w:pPr>
        <w:pStyle w:val="Normal"/>
        <w:bidi w:val="0"/>
        <w:spacing w:before="0" w:after="0"/>
        <w:jc w:val="left"/>
        <w:rPr>
          <w:sz w:val="4"/>
          <w:szCs w:val="4"/>
        </w:rPr>
      </w:pPr>
      <w:r>
        <w:rPr>
          <w:sz w:val="4"/>
          <w:szCs w:val="4"/>
        </w:rPr>
      </w:r>
      <w:bookmarkStart w:id="82" w:name="zefb2a768899b436681590593db97a077"/>
      <w:bookmarkStart w:id="83" w:name="zefb2a768899b436681590593db97a077"/>
      <w:bookmarkEnd w:id="8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 large global employer, onsemi offers a comprehensive and market-competitive Total Rewards program, including compensation, benefits, time off, and wellness programs.</w:t>
            </w:r>
          </w:p>
        </w:tc>
      </w:tr>
    </w:tbl>
    <w:p>
      <w:pPr>
        <w:pStyle w:val="Normal"/>
        <w:bidi w:val="0"/>
        <w:spacing w:before="0" w:after="0"/>
        <w:jc w:val="left"/>
        <w:rPr>
          <w:sz w:val="4"/>
          <w:szCs w:val="4"/>
        </w:rPr>
      </w:pPr>
      <w:r>
        <w:rPr>
          <w:sz w:val="4"/>
          <w:szCs w:val="4"/>
        </w:rPr>
      </w:r>
      <w:bookmarkStart w:id="84" w:name="z0a67892bb5cc4f55974448d8c0dec774"/>
      <w:bookmarkStart w:id="85" w:name="z0a67892bb5cc4f55974448d8c0dec774"/>
      <w:bookmarkEnd w:id="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For the first 12 months as part of onsemi, base pay and target cash bonus opportunity, taken together, will be no less favorable for employees than immediately before closing.</w:t>
            </w:r>
          </w:p>
        </w:tc>
      </w:tr>
    </w:tbl>
    <w:p>
      <w:pPr>
        <w:pStyle w:val="Normal"/>
        <w:bidi w:val="0"/>
        <w:spacing w:before="0" w:after="0"/>
        <w:jc w:val="left"/>
        <w:rPr>
          <w:sz w:val="4"/>
          <w:szCs w:val="4"/>
        </w:rPr>
      </w:pPr>
      <w:r>
        <w:rPr>
          <w:sz w:val="4"/>
          <w:szCs w:val="4"/>
        </w:rPr>
      </w:r>
      <w:bookmarkStart w:id="86" w:name="z92ab29c99d264bacaadcef4078bc9c4d"/>
      <w:bookmarkStart w:id="87" w:name="z92ab29c99d264bacaadcef4078bc9c4d"/>
      <w:bookmarkEnd w:id="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Most other benefits will remain substantially comparable, overall, to current benefits or to those offered to similarly situated onsemi employees.</w:t>
            </w:r>
          </w:p>
        </w:tc>
      </w:tr>
    </w:tbl>
    <w:p>
      <w:pPr>
        <w:pStyle w:val="Normal"/>
        <w:bidi w:val="0"/>
        <w:spacing w:before="0" w:after="0"/>
        <w:jc w:val="left"/>
        <w:rPr>
          <w:sz w:val="4"/>
          <w:szCs w:val="4"/>
        </w:rPr>
      </w:pPr>
      <w:r>
        <w:rPr>
          <w:sz w:val="4"/>
          <w:szCs w:val="4"/>
        </w:rPr>
      </w:r>
      <w:bookmarkStart w:id="88" w:name="ze4118f8f9b4149b58d527245bca75df5"/>
      <w:bookmarkStart w:id="89" w:name="ze4118f8f9b4149b58d527245bca75df5"/>
      <w:bookmarkEnd w:id="8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That said, there are still many details to be determined, and we will provide an update closer to the transaction closing.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e14ad68c89064d2c9d8d91214a15a4eb"/>
      <w:bookmarkStart w:id="91" w:name="ze14ad68c89064d2c9d8d91214a15a4eb"/>
      <w:bookmarkEnd w:id="91"/>
    </w:p>
    <w:tbl>
      <w:tblPr>
        <w:tblW w:w="9460" w:type="dxa"/>
        <w:jc w:val="left"/>
        <w:tblInd w:w="0" w:type="dxa"/>
        <w:tblLayout w:type="fixed"/>
        <w:tblCellMar>
          <w:top w:w="0" w:type="dxa"/>
          <w:left w:w="0" w:type="dxa"/>
          <w:bottom w:w="0" w:type="dxa"/>
          <w:right w:w="0" w:type="dxa"/>
        </w:tblCellMar>
      </w:tblPr>
      <w:tblGrid>
        <w:gridCol w:w="335"/>
        <w:gridCol w:w="9125"/>
      </w:tblGrid>
      <w:tr>
        <w:trPr/>
        <w:tc>
          <w:tcPr>
            <w:tcW w:w="335" w:type="dxa"/>
            <w:tcBorders/>
            <w:vAlign w:val="center"/>
          </w:tcPr>
          <w:p>
            <w:pPr>
              <w:pStyle w:val="TableContents"/>
              <w:bidi w:val="0"/>
              <w:spacing w:before="0" w:after="283"/>
              <w:jc w:val="left"/>
              <w:rPr>
                <w:b/>
              </w:rPr>
            </w:pPr>
            <w:r>
              <w:rPr>
                <w:b/>
              </w:rPr>
              <w:t>10.</w:t>
            </w:r>
          </w:p>
        </w:tc>
        <w:tc>
          <w:tcPr>
            <w:tcW w:w="9125" w:type="dxa"/>
            <w:tcBorders/>
            <w:vAlign w:val="center"/>
          </w:tcPr>
          <w:p>
            <w:pPr>
              <w:pStyle w:val="TableContents"/>
              <w:bidi w:val="0"/>
              <w:spacing w:before="0" w:after="0"/>
              <w:jc w:val="left"/>
              <w:rPr>
                <w:b/>
              </w:rPr>
            </w:pPr>
            <w:r>
              <w:rPr>
                <w:b/>
              </w:rPr>
              <w:t>How does this affect recruitment for current open positions? Will there be a hiring freeze?</w:t>
            </w:r>
          </w:p>
        </w:tc>
      </w:tr>
    </w:tbl>
    <w:p>
      <w:pPr>
        <w:pStyle w:val="Normal"/>
        <w:bidi w:val="0"/>
        <w:spacing w:before="0" w:after="0"/>
        <w:jc w:val="left"/>
        <w:rPr>
          <w:sz w:val="4"/>
          <w:szCs w:val="4"/>
        </w:rPr>
      </w:pPr>
      <w:r>
        <w:rPr>
          <w:sz w:val="4"/>
          <w:szCs w:val="4"/>
        </w:rPr>
      </w:r>
      <w:bookmarkStart w:id="92" w:name="ze514a346bc9d492e9ee43c351e0d48d5"/>
      <w:bookmarkStart w:id="93" w:name="ze514a346bc9d492e9ee43c351e0d48d5"/>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don’t anticipate any changes to our current recruitment goals, and we plan to continue hiring and filling open positions, subject to our interim covenant obligations under the Merger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e1965cfb7620493b855f449d09810507"/>
      <w:bookmarkStart w:id="95" w:name="ze1965cfb7620493b855f449d09810507"/>
      <w:bookmarkEnd w:id="95"/>
    </w:p>
    <w:tbl>
      <w:tblPr>
        <w:tblW w:w="3775" w:type="dxa"/>
        <w:jc w:val="left"/>
        <w:tblInd w:w="0" w:type="dxa"/>
        <w:tblLayout w:type="fixed"/>
        <w:tblCellMar>
          <w:top w:w="0" w:type="dxa"/>
          <w:left w:w="0" w:type="dxa"/>
          <w:bottom w:w="0" w:type="dxa"/>
          <w:right w:w="0" w:type="dxa"/>
        </w:tblCellMar>
      </w:tblPr>
      <w:tblGrid>
        <w:gridCol w:w="335"/>
        <w:gridCol w:w="3440"/>
      </w:tblGrid>
      <w:tr>
        <w:trPr/>
        <w:tc>
          <w:tcPr>
            <w:tcW w:w="335" w:type="dxa"/>
            <w:tcBorders/>
            <w:vAlign w:val="center"/>
          </w:tcPr>
          <w:p>
            <w:pPr>
              <w:pStyle w:val="TableContents"/>
              <w:bidi w:val="0"/>
              <w:spacing w:before="0" w:after="283"/>
              <w:jc w:val="left"/>
              <w:rPr>
                <w:b/>
              </w:rPr>
            </w:pPr>
            <w:r>
              <w:rPr>
                <w:b/>
              </w:rPr>
              <w:t>11.</w:t>
            </w:r>
          </w:p>
        </w:tc>
        <w:tc>
          <w:tcPr>
            <w:tcW w:w="3440" w:type="dxa"/>
            <w:tcBorders/>
            <w:vAlign w:val="center"/>
          </w:tcPr>
          <w:p>
            <w:pPr>
              <w:pStyle w:val="TableContents"/>
              <w:bidi w:val="0"/>
              <w:spacing w:before="0" w:after="0"/>
              <w:jc w:val="left"/>
              <w:rPr>
                <w:b/>
              </w:rPr>
            </w:pPr>
            <w:r>
              <w:rPr>
                <w:b/>
              </w:rPr>
              <w:t>What will happen with my stock?</w:t>
            </w:r>
          </w:p>
        </w:tc>
      </w:tr>
    </w:tbl>
    <w:p>
      <w:pPr>
        <w:pStyle w:val="Normal"/>
        <w:bidi w:val="0"/>
        <w:spacing w:before="0" w:after="0"/>
        <w:jc w:val="left"/>
        <w:rPr>
          <w:sz w:val="4"/>
          <w:szCs w:val="4"/>
        </w:rPr>
      </w:pPr>
      <w:r>
        <w:rPr>
          <w:sz w:val="4"/>
          <w:szCs w:val="4"/>
        </w:rPr>
      </w:r>
      <w:bookmarkStart w:id="96" w:name="z220feddac1364786846f6f17ba4205fc"/>
      <w:bookmarkStart w:id="97" w:name="z220feddac1364786846f6f17ba4205fc"/>
      <w:bookmarkEnd w:id="9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At closing, each share of Synaptics stock that you own will be automatically converted into 1.350 shares of onsemi stock.</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8" w:name="zf6e5788e22c3438cb0a1ec6a63850614"/>
      <w:bookmarkStart w:id="99" w:name="zf6e5788e22c3438cb0a1ec6a63850614"/>
      <w:bookmarkEnd w:id="99"/>
    </w:p>
    <w:tbl>
      <w:tblPr>
        <w:tblW w:w="4165" w:type="dxa"/>
        <w:jc w:val="left"/>
        <w:tblInd w:w="0" w:type="dxa"/>
        <w:tblLayout w:type="fixed"/>
        <w:tblCellMar>
          <w:top w:w="0" w:type="dxa"/>
          <w:left w:w="0" w:type="dxa"/>
          <w:bottom w:w="0" w:type="dxa"/>
          <w:right w:w="0" w:type="dxa"/>
        </w:tblCellMar>
      </w:tblPr>
      <w:tblGrid>
        <w:gridCol w:w="335"/>
        <w:gridCol w:w="3830"/>
      </w:tblGrid>
      <w:tr>
        <w:trPr/>
        <w:tc>
          <w:tcPr>
            <w:tcW w:w="335" w:type="dxa"/>
            <w:tcBorders/>
            <w:vAlign w:val="center"/>
          </w:tcPr>
          <w:p>
            <w:pPr>
              <w:pStyle w:val="TableContents"/>
              <w:bidi w:val="0"/>
              <w:spacing w:before="0" w:after="283"/>
              <w:jc w:val="left"/>
              <w:rPr>
                <w:b/>
              </w:rPr>
            </w:pPr>
            <w:r>
              <w:rPr>
                <w:b/>
              </w:rPr>
              <w:t>12.</w:t>
            </w:r>
          </w:p>
        </w:tc>
        <w:tc>
          <w:tcPr>
            <w:tcW w:w="3830" w:type="dxa"/>
            <w:tcBorders/>
            <w:vAlign w:val="center"/>
          </w:tcPr>
          <w:p>
            <w:pPr>
              <w:pStyle w:val="TableContents"/>
              <w:bidi w:val="0"/>
              <w:spacing w:before="0" w:after="0"/>
              <w:jc w:val="left"/>
              <w:rPr>
                <w:b/>
              </w:rPr>
            </w:pPr>
            <w:r>
              <w:rPr>
                <w:b/>
              </w:rPr>
              <w:t>What will happen to unvested RSUs?</w:t>
            </w:r>
          </w:p>
        </w:tc>
      </w:tr>
    </w:tbl>
    <w:p>
      <w:pPr>
        <w:pStyle w:val="Normal"/>
        <w:bidi w:val="0"/>
        <w:spacing w:before="0" w:after="0"/>
        <w:jc w:val="left"/>
        <w:rPr>
          <w:sz w:val="4"/>
          <w:szCs w:val="4"/>
        </w:rPr>
      </w:pPr>
      <w:r>
        <w:rPr>
          <w:sz w:val="4"/>
          <w:szCs w:val="4"/>
        </w:rPr>
      </w:r>
      <w:bookmarkStart w:id="100" w:name="zae68931251044b33937b990ce50dd89a"/>
      <w:bookmarkStart w:id="101" w:name="zae68931251044b33937b990ce50dd89a"/>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time-vested RSUs you hold which are unvested as of the closing of the transaction will be converted into RSUs on onsemi stock based on the overall exchange ratio used for the transaction, and those converted RSUs will continue to vest and settle in the normal course based on your original service vesting schedule.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44c0ca020d844c90aaa54b5b645dd458"/>
      <w:bookmarkStart w:id="103" w:name="z44c0ca020d844c90aaa54b5b645dd458"/>
      <w:bookmarkEnd w:id="103"/>
    </w:p>
    <w:tbl>
      <w:tblPr>
        <w:tblW w:w="6070" w:type="dxa"/>
        <w:jc w:val="left"/>
        <w:tblInd w:w="0" w:type="dxa"/>
        <w:tblLayout w:type="fixed"/>
        <w:tblCellMar>
          <w:top w:w="0" w:type="dxa"/>
          <w:left w:w="0" w:type="dxa"/>
          <w:bottom w:w="0" w:type="dxa"/>
          <w:right w:w="0" w:type="dxa"/>
        </w:tblCellMar>
      </w:tblPr>
      <w:tblGrid>
        <w:gridCol w:w="335"/>
        <w:gridCol w:w="5735"/>
      </w:tblGrid>
      <w:tr>
        <w:trPr/>
        <w:tc>
          <w:tcPr>
            <w:tcW w:w="335" w:type="dxa"/>
            <w:tcBorders/>
            <w:vAlign w:val="center"/>
          </w:tcPr>
          <w:p>
            <w:pPr>
              <w:pStyle w:val="TableContents"/>
              <w:bidi w:val="0"/>
              <w:spacing w:before="0" w:after="283"/>
              <w:jc w:val="left"/>
              <w:rPr>
                <w:b/>
              </w:rPr>
            </w:pPr>
            <w:r>
              <w:rPr>
                <w:b/>
              </w:rPr>
              <w:t>13.</w:t>
            </w:r>
          </w:p>
        </w:tc>
        <w:tc>
          <w:tcPr>
            <w:tcW w:w="5735" w:type="dxa"/>
            <w:tcBorders/>
            <w:vAlign w:val="center"/>
          </w:tcPr>
          <w:p>
            <w:pPr>
              <w:pStyle w:val="TableContents"/>
              <w:bidi w:val="0"/>
              <w:spacing w:before="0" w:after="0"/>
              <w:jc w:val="left"/>
              <w:rPr>
                <w:b/>
              </w:rPr>
            </w:pPr>
            <w:r>
              <w:rPr>
                <w:b/>
              </w:rPr>
              <w:t>Will my years of service at Synaptics transfer to onsemi?</w:t>
            </w:r>
          </w:p>
        </w:tc>
      </w:tr>
    </w:tbl>
    <w:p>
      <w:pPr>
        <w:pStyle w:val="Normal"/>
        <w:bidi w:val="0"/>
        <w:spacing w:before="0" w:after="0"/>
        <w:jc w:val="left"/>
        <w:rPr>
          <w:sz w:val="4"/>
          <w:szCs w:val="4"/>
        </w:rPr>
      </w:pPr>
      <w:r>
        <w:rPr>
          <w:sz w:val="4"/>
          <w:szCs w:val="4"/>
        </w:rPr>
      </w:r>
      <w:bookmarkStart w:id="104" w:name="z0e076a36056542ae8be6d10dd44c70e6"/>
      <w:bookmarkStart w:id="105" w:name="z0e076a36056542ae8be6d10dd44c70e6"/>
      <w:bookmarkEnd w:id="10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expect eligible employees' prior Synaptics service to be recognized for many benefit-related purposes following the closing, consistent with the Merger Agreement and applicable benefit plans.</w:t>
            </w:r>
          </w:p>
        </w:tc>
      </w:tr>
    </w:tbl>
    <w:p>
      <w:pPr>
        <w:pStyle w:val="Normal"/>
        <w:bidi w:val="0"/>
        <w:spacing w:before="0" w:after="0"/>
        <w:jc w:val="left"/>
        <w:rPr>
          <w:sz w:val="4"/>
          <w:szCs w:val="4"/>
        </w:rPr>
      </w:pPr>
      <w:r>
        <w:rPr>
          <w:sz w:val="4"/>
          <w:szCs w:val="4"/>
        </w:rPr>
      </w:r>
      <w:bookmarkStart w:id="106" w:name="zee14132ba7ae46b984581b4bcdc91e01"/>
      <w:bookmarkStart w:id="107" w:name="zee14132ba7ae46b984581b4bcdc91e01"/>
      <w:bookmarkEnd w:id="107"/>
    </w:p>
    <w:tbl>
      <w:tblPr>
        <w:tblW w:w="9948" w:type="dxa"/>
        <w:jc w:val="left"/>
        <w:tblInd w:w="0" w:type="dxa"/>
        <w:tblLayout w:type="fixed"/>
        <w:tblCellMar>
          <w:top w:w="0" w:type="dxa"/>
          <w:left w:w="0" w:type="dxa"/>
          <w:bottom w:w="0" w:type="dxa"/>
          <w:right w:w="0" w:type="dxa"/>
        </w:tblCellMar>
      </w:tblPr>
      <w:tblGrid>
        <w:gridCol w:w="38"/>
        <w:gridCol w:w="110"/>
        <w:gridCol w:w="9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0"/>
              <w:jc w:val="left"/>
              <w:rPr/>
            </w:pPr>
            <w:r>
              <w:rPr/>
              <w:t>This includes service recognition for certain benefits, such as vacation and severance, where applicable.</w:t>
            </w:r>
          </w:p>
        </w:tc>
      </w:tr>
    </w:tbl>
    <w:p>
      <w:pPr>
        <w:pStyle w:val="Normal"/>
        <w:bidi w:val="0"/>
        <w:spacing w:before="0" w:after="0"/>
        <w:jc w:val="left"/>
        <w:rPr>
          <w:sz w:val="4"/>
          <w:szCs w:val="4"/>
        </w:rPr>
      </w:pPr>
      <w:r>
        <w:rPr>
          <w:sz w:val="4"/>
          <w:szCs w:val="4"/>
        </w:rPr>
      </w:r>
      <w:bookmarkStart w:id="108" w:name="zfe26baa7822747049c2c75f478ca9e47"/>
      <w:bookmarkStart w:id="109" w:name="zfe26baa7822747049c2c75f478ca9e47"/>
      <w:bookmarkEnd w:id="1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Details regarding specific benefit programs and how service will be recognized will be communicated closer to closing.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10" w:name="z818c60612d1d4c01ab4559bdedd8a706"/>
      <w:bookmarkStart w:id="111" w:name="z818c60612d1d4c01ab4559bdedd8a706"/>
      <w:bookmarkEnd w:id="111"/>
    </w:p>
    <w:tbl>
      <w:tblPr>
        <w:tblW w:w="5740" w:type="dxa"/>
        <w:jc w:val="left"/>
        <w:tblInd w:w="0" w:type="dxa"/>
        <w:tblLayout w:type="fixed"/>
        <w:tblCellMar>
          <w:top w:w="0" w:type="dxa"/>
          <w:left w:w="0" w:type="dxa"/>
          <w:bottom w:w="0" w:type="dxa"/>
          <w:right w:w="0" w:type="dxa"/>
        </w:tblCellMar>
      </w:tblPr>
      <w:tblGrid>
        <w:gridCol w:w="335"/>
        <w:gridCol w:w="5405"/>
      </w:tblGrid>
      <w:tr>
        <w:trPr/>
        <w:tc>
          <w:tcPr>
            <w:tcW w:w="335" w:type="dxa"/>
            <w:tcBorders/>
            <w:vAlign w:val="center"/>
          </w:tcPr>
          <w:p>
            <w:pPr>
              <w:pStyle w:val="TableContents"/>
              <w:bidi w:val="0"/>
              <w:spacing w:before="0" w:after="283"/>
              <w:jc w:val="left"/>
              <w:rPr>
                <w:b/>
              </w:rPr>
            </w:pPr>
            <w:r>
              <w:rPr>
                <w:b/>
              </w:rPr>
              <w:t>14.</w:t>
            </w:r>
          </w:p>
        </w:tc>
        <w:tc>
          <w:tcPr>
            <w:tcW w:w="5405" w:type="dxa"/>
            <w:tcBorders/>
            <w:vAlign w:val="center"/>
          </w:tcPr>
          <w:p>
            <w:pPr>
              <w:pStyle w:val="TableContents"/>
              <w:bidi w:val="0"/>
              <w:spacing w:before="0" w:after="0"/>
              <w:jc w:val="left"/>
              <w:rPr>
                <w:b/>
              </w:rPr>
            </w:pPr>
            <w:r>
              <w:rPr>
                <w:b/>
              </w:rPr>
              <w:t>What about ESPP (Employee Stock Purchase Plan)?</w:t>
            </w:r>
          </w:p>
        </w:tc>
      </w:tr>
    </w:tbl>
    <w:p>
      <w:pPr>
        <w:pStyle w:val="Normal"/>
        <w:bidi w:val="0"/>
        <w:spacing w:before="0" w:after="0"/>
        <w:jc w:val="left"/>
        <w:rPr>
          <w:sz w:val="4"/>
          <w:szCs w:val="4"/>
        </w:rPr>
      </w:pPr>
      <w:r>
        <w:rPr>
          <w:sz w:val="4"/>
          <w:szCs w:val="4"/>
        </w:rPr>
      </w:r>
      <w:bookmarkStart w:id="112" w:name="zf165600a17c54b0f82ba403b652b534a"/>
      <w:bookmarkStart w:id="113" w:name="zf165600a17c54b0f82ba403b652b534a"/>
      <w:bookmarkEnd w:id="113"/>
    </w:p>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left"/>
              <w:rPr/>
            </w:pPr>
            <w:r>
              <w:rPr/>
              <w:t>The current ESPP offering period will be the final offering period under the Synaptics ESPP.</w:t>
            </w:r>
          </w:p>
        </w:tc>
      </w:tr>
    </w:tbl>
    <w:p>
      <w:pPr>
        <w:pStyle w:val="Normal"/>
        <w:bidi w:val="0"/>
        <w:spacing w:before="0" w:after="0"/>
        <w:jc w:val="left"/>
        <w:rPr>
          <w:sz w:val="4"/>
          <w:szCs w:val="4"/>
        </w:rPr>
      </w:pPr>
      <w:r>
        <w:rPr>
          <w:sz w:val="4"/>
          <w:szCs w:val="4"/>
        </w:rPr>
      </w:r>
      <w:bookmarkStart w:id="114" w:name="z8516f28e9f404684a0a629d1c2690b0e"/>
      <w:bookmarkStart w:id="115" w:name="z8516f28e9f404684a0a629d1c2690b0e"/>
      <w:bookmarkEnd w:id="1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Following the close of the transaction, employees will be given the option to enroll in onsemi's ESPP, subject to the terms and eligibility requirements of that plan.</w:t>
            </w:r>
          </w:p>
        </w:tc>
      </w:tr>
    </w:tbl>
    <w:p>
      <w:pPr>
        <w:pStyle w:val="Normal"/>
        <w:bidi w:val="0"/>
        <w:spacing w:before="0" w:after="0"/>
        <w:jc w:val="left"/>
        <w:rPr>
          <w:sz w:val="4"/>
          <w:szCs w:val="4"/>
        </w:rPr>
      </w:pPr>
      <w:r>
        <w:rPr>
          <w:sz w:val="4"/>
          <w:szCs w:val="4"/>
        </w:rPr>
      </w:r>
      <w:bookmarkStart w:id="116" w:name="zedd78fc49a474ccdbe6e7aad0d1eefc3"/>
      <w:bookmarkStart w:id="117" w:name="zedd78fc49a474ccdbe6e7aad0d1eefc3"/>
      <w:bookmarkEnd w:id="1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Additional details (e.g., enrollment windows, discount rate, plan terms) will be communicated as appropriate following close.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a2da13bc94604efd85c0f919e6464c95"/>
      <w:bookmarkStart w:id="119" w:name="za2da13bc94604efd85c0f919e6464c95"/>
      <w:bookmarkEnd w:id="119"/>
    </w:p>
    <w:tbl>
      <w:tblPr>
        <w:tblW w:w="6655" w:type="dxa"/>
        <w:jc w:val="left"/>
        <w:tblInd w:w="0" w:type="dxa"/>
        <w:tblLayout w:type="fixed"/>
        <w:tblCellMar>
          <w:top w:w="0" w:type="dxa"/>
          <w:left w:w="0" w:type="dxa"/>
          <w:bottom w:w="0" w:type="dxa"/>
          <w:right w:w="0" w:type="dxa"/>
        </w:tblCellMar>
      </w:tblPr>
      <w:tblGrid>
        <w:gridCol w:w="335"/>
        <w:gridCol w:w="6320"/>
      </w:tblGrid>
      <w:tr>
        <w:trPr/>
        <w:tc>
          <w:tcPr>
            <w:tcW w:w="335" w:type="dxa"/>
            <w:tcBorders/>
            <w:vAlign w:val="center"/>
          </w:tcPr>
          <w:p>
            <w:pPr>
              <w:pStyle w:val="TableContents"/>
              <w:bidi w:val="0"/>
              <w:spacing w:before="0" w:after="283"/>
              <w:jc w:val="left"/>
              <w:rPr>
                <w:b/>
              </w:rPr>
            </w:pPr>
            <w:r>
              <w:rPr>
                <w:b/>
              </w:rPr>
              <w:t>15.</w:t>
            </w:r>
          </w:p>
        </w:tc>
        <w:tc>
          <w:tcPr>
            <w:tcW w:w="6320" w:type="dxa"/>
            <w:tcBorders/>
            <w:vAlign w:val="center"/>
          </w:tcPr>
          <w:p>
            <w:pPr>
              <w:pStyle w:val="TableContents"/>
              <w:bidi w:val="0"/>
              <w:spacing w:before="0" w:after="0"/>
              <w:jc w:val="left"/>
              <w:rPr>
                <w:b/>
              </w:rPr>
            </w:pPr>
            <w:r>
              <w:rPr>
                <w:b/>
              </w:rPr>
              <w:t>What happens to my bonus if the transaction closes mid-year?</w:t>
            </w:r>
          </w:p>
        </w:tc>
      </w:tr>
    </w:tbl>
    <w:p>
      <w:pPr>
        <w:pStyle w:val="Normal"/>
        <w:bidi w:val="0"/>
        <w:spacing w:before="0" w:after="0"/>
        <w:jc w:val="left"/>
        <w:rPr>
          <w:sz w:val="4"/>
          <w:szCs w:val="4"/>
        </w:rPr>
      </w:pPr>
      <w:r>
        <w:rPr>
          <w:sz w:val="4"/>
          <w:szCs w:val="4"/>
        </w:rPr>
      </w:r>
      <w:bookmarkStart w:id="120" w:name="z43c1600a441b4ee0b57a6f8b0a9de88f"/>
      <w:bookmarkStart w:id="121" w:name="z43c1600a441b4ee0b57a6f8b0a9de88f"/>
      <w:bookmarkEnd w:id="12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the transaction closes during the current fiscal year, eligible employees participating in the annual bonus plan will receive a prorated bonus through the closing date, calculated at target performance and paid in a single lump sum shortly after closing (within 15 days under the Merger Agreement).</w:t>
            </w:r>
          </w:p>
        </w:tc>
      </w:tr>
    </w:tbl>
    <w:p>
      <w:pPr>
        <w:pStyle w:val="Normal"/>
        <w:bidi w:val="0"/>
        <w:spacing w:before="0" w:after="0"/>
        <w:jc w:val="left"/>
        <w:rPr>
          <w:sz w:val="4"/>
          <w:szCs w:val="4"/>
        </w:rPr>
      </w:pPr>
      <w:r>
        <w:rPr>
          <w:sz w:val="4"/>
          <w:szCs w:val="4"/>
        </w:rPr>
      </w:r>
      <w:bookmarkStart w:id="122" w:name="z7c3816ab7e1e4c509b94138bf8494c82"/>
      <w:bookmarkStart w:id="123" w:name="z7c3816ab7e1e4c509b94138bf8494c82"/>
      <w:bookmarkEnd w:id="1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Details regarding compensation and bonus programs after closing will be communicated closer to the closing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zf158cb1e55264568bacaf311f1d5cb9a"/>
      <w:bookmarkStart w:id="125" w:name="zf158cb1e55264568bacaf311f1d5cb9a"/>
      <w:bookmarkEnd w:id="125"/>
    </w:p>
    <w:tbl>
      <w:tblPr>
        <w:tblW w:w="7750" w:type="dxa"/>
        <w:jc w:val="left"/>
        <w:tblInd w:w="0" w:type="dxa"/>
        <w:tblLayout w:type="fixed"/>
        <w:tblCellMar>
          <w:top w:w="0" w:type="dxa"/>
          <w:left w:w="0" w:type="dxa"/>
          <w:bottom w:w="0" w:type="dxa"/>
          <w:right w:w="0" w:type="dxa"/>
        </w:tblCellMar>
      </w:tblPr>
      <w:tblGrid>
        <w:gridCol w:w="335"/>
        <w:gridCol w:w="7415"/>
      </w:tblGrid>
      <w:tr>
        <w:trPr/>
        <w:tc>
          <w:tcPr>
            <w:tcW w:w="335" w:type="dxa"/>
            <w:tcBorders/>
            <w:vAlign w:val="center"/>
          </w:tcPr>
          <w:p>
            <w:pPr>
              <w:pStyle w:val="TableContents"/>
              <w:bidi w:val="0"/>
              <w:spacing w:before="0" w:after="283"/>
              <w:jc w:val="left"/>
              <w:rPr>
                <w:b/>
              </w:rPr>
            </w:pPr>
            <w:r>
              <w:rPr>
                <w:b/>
              </w:rPr>
              <w:t>16.</w:t>
            </w:r>
          </w:p>
        </w:tc>
        <w:tc>
          <w:tcPr>
            <w:tcW w:w="7415" w:type="dxa"/>
            <w:tcBorders/>
            <w:vAlign w:val="center"/>
          </w:tcPr>
          <w:p>
            <w:pPr>
              <w:pStyle w:val="TableContents"/>
              <w:bidi w:val="0"/>
              <w:spacing w:before="0" w:after="0"/>
              <w:jc w:val="left"/>
              <w:rPr>
                <w:b/>
              </w:rPr>
            </w:pPr>
            <w:r>
              <w:rPr>
                <w:b/>
              </w:rPr>
              <w:t>Will my outstanding equity awards vest early because of the transaction?</w:t>
            </w:r>
          </w:p>
        </w:tc>
      </w:tr>
    </w:tbl>
    <w:p>
      <w:pPr>
        <w:pStyle w:val="Normal"/>
        <w:bidi w:val="0"/>
        <w:spacing w:before="0" w:after="0"/>
        <w:jc w:val="left"/>
        <w:rPr>
          <w:sz w:val="4"/>
          <w:szCs w:val="4"/>
        </w:rPr>
      </w:pPr>
      <w:r>
        <w:rPr>
          <w:sz w:val="4"/>
          <w:szCs w:val="4"/>
        </w:rPr>
      </w:r>
      <w:bookmarkStart w:id="126" w:name="z722b5cd5611944b098a4d8d955cf9c27"/>
      <w:bookmarkStart w:id="127" w:name="z722b5cd5611944b098a4d8d955cf9c27"/>
      <w:bookmarkEnd w:id="1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Employee awards will continue to vest according to their existing terms, unless otherwise provided under the applicable award agreement or communicated in the future.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a42b165d86ca4587bdbf4826fa49f390"/>
      <w:bookmarkStart w:id="129" w:name="za42b165d86ca4587bdbf4826fa49f390"/>
      <w:bookmarkEnd w:id="129"/>
    </w:p>
    <w:tbl>
      <w:tblPr>
        <w:tblW w:w="6010" w:type="dxa"/>
        <w:jc w:val="left"/>
        <w:tblInd w:w="0" w:type="dxa"/>
        <w:tblLayout w:type="fixed"/>
        <w:tblCellMar>
          <w:top w:w="0" w:type="dxa"/>
          <w:left w:w="0" w:type="dxa"/>
          <w:bottom w:w="0" w:type="dxa"/>
          <w:right w:w="0" w:type="dxa"/>
        </w:tblCellMar>
      </w:tblPr>
      <w:tblGrid>
        <w:gridCol w:w="335"/>
        <w:gridCol w:w="5675"/>
      </w:tblGrid>
      <w:tr>
        <w:trPr/>
        <w:tc>
          <w:tcPr>
            <w:tcW w:w="335" w:type="dxa"/>
            <w:tcBorders/>
            <w:vAlign w:val="center"/>
          </w:tcPr>
          <w:p>
            <w:pPr>
              <w:pStyle w:val="TableContents"/>
              <w:bidi w:val="0"/>
              <w:spacing w:before="0" w:after="283"/>
              <w:jc w:val="left"/>
              <w:rPr>
                <w:b/>
              </w:rPr>
            </w:pPr>
            <w:r>
              <w:rPr>
                <w:b/>
              </w:rPr>
              <w:t>17.</w:t>
            </w:r>
          </w:p>
        </w:tc>
        <w:tc>
          <w:tcPr>
            <w:tcW w:w="5675" w:type="dxa"/>
            <w:tcBorders/>
            <w:vAlign w:val="center"/>
          </w:tcPr>
          <w:p>
            <w:pPr>
              <w:pStyle w:val="TableContents"/>
              <w:bidi w:val="0"/>
              <w:spacing w:before="0" w:after="0"/>
              <w:jc w:val="left"/>
              <w:rPr>
                <w:b/>
              </w:rPr>
            </w:pPr>
            <w:r>
              <w:rPr>
                <w:b/>
              </w:rPr>
              <w:t>Will there be any retention bonuses or signing bonuses?</w:t>
            </w:r>
          </w:p>
        </w:tc>
      </w:tr>
    </w:tbl>
    <w:p>
      <w:pPr>
        <w:pStyle w:val="Normal"/>
        <w:bidi w:val="0"/>
        <w:spacing w:before="0" w:after="0"/>
        <w:jc w:val="left"/>
        <w:rPr>
          <w:sz w:val="4"/>
          <w:szCs w:val="4"/>
        </w:rPr>
      </w:pPr>
      <w:r>
        <w:rPr>
          <w:sz w:val="4"/>
          <w:szCs w:val="4"/>
        </w:rPr>
      </w:r>
      <w:bookmarkStart w:id="130" w:name="zd9c0e80736d24b2aa72d20cb80ca26b6"/>
      <w:bookmarkStart w:id="131" w:name="zd9c0e80736d24b2aa72d20cb80ca26b6"/>
      <w:bookmarkEnd w:id="1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recognize that retention and incentive programs are important considerations for our employees. As we work through the transaction process, we are continuously evaluating these matters.</w:t>
            </w:r>
          </w:p>
        </w:tc>
      </w:tr>
    </w:tbl>
    <w:p>
      <w:pPr>
        <w:pStyle w:val="Normal"/>
        <w:bidi w:val="0"/>
        <w:spacing w:before="0" w:after="0"/>
        <w:jc w:val="left"/>
        <w:rPr>
          <w:sz w:val="4"/>
          <w:szCs w:val="4"/>
        </w:rPr>
      </w:pPr>
      <w:r>
        <w:rPr>
          <w:sz w:val="4"/>
          <w:szCs w:val="4"/>
        </w:rPr>
      </w:r>
      <w:bookmarkStart w:id="132" w:name="z7db67bb61ea347c58d1573477336ff62"/>
      <w:bookmarkStart w:id="133" w:name="z7db67bb61ea347c58d1573477336ff62"/>
      <w:bookmarkEnd w:id="1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Any decisions regarding employee retention or incentive programs will be communicated directly to those people at the appropriate time, with specific details on eligibility and terms.</w:t>
            </w:r>
          </w:p>
        </w:tc>
      </w:tr>
    </w:tbl>
    <w:p>
      <w:pPr>
        <w:pStyle w:val="Normal"/>
        <w:bidi w:val="0"/>
        <w:spacing w:before="0" w:after="0"/>
        <w:jc w:val="left"/>
        <w:rPr>
          <w:sz w:val="4"/>
          <w:szCs w:val="4"/>
        </w:rPr>
      </w:pPr>
      <w:r>
        <w:rPr>
          <w:sz w:val="4"/>
          <w:szCs w:val="4"/>
        </w:rPr>
      </w:r>
      <w:bookmarkStart w:id="134" w:name="z3f99f77976154895be3fd016e8aa5796"/>
      <w:bookmarkStart w:id="135" w:name="z3f99f77976154895be3fd016e8aa5796"/>
      <w:bookmarkEnd w:id="135"/>
    </w:p>
    <w:tbl>
      <w:tblPr>
        <w:tblW w:w="4023" w:type="dxa"/>
        <w:jc w:val="left"/>
        <w:tblInd w:w="0" w:type="dxa"/>
        <w:tblLayout w:type="fixed"/>
        <w:tblCellMar>
          <w:top w:w="0" w:type="dxa"/>
          <w:left w:w="0" w:type="dxa"/>
          <w:bottom w:w="0" w:type="dxa"/>
          <w:right w:w="0" w:type="dxa"/>
        </w:tblCellMar>
      </w:tblPr>
      <w:tblGrid>
        <w:gridCol w:w="38"/>
        <w:gridCol w:w="110"/>
        <w:gridCol w:w="3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0"/>
              <w:jc w:val="left"/>
              <w:rPr/>
            </w:pPr>
            <w:r>
              <w:rPr/>
              <w:t>These decisions are still being evaluated.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6" w:name="zfd55b3f61f534e96975eedc3541570b8"/>
      <w:bookmarkStart w:id="137" w:name="zfd55b3f61f534e96975eedc3541570b8"/>
      <w:bookmarkEnd w:id="137"/>
    </w:p>
    <w:tbl>
      <w:tblPr>
        <w:tblW w:w="6235" w:type="dxa"/>
        <w:jc w:val="left"/>
        <w:tblInd w:w="0" w:type="dxa"/>
        <w:tblLayout w:type="fixed"/>
        <w:tblCellMar>
          <w:top w:w="0" w:type="dxa"/>
          <w:left w:w="0" w:type="dxa"/>
          <w:bottom w:w="0" w:type="dxa"/>
          <w:right w:w="0" w:type="dxa"/>
        </w:tblCellMar>
      </w:tblPr>
      <w:tblGrid>
        <w:gridCol w:w="335"/>
        <w:gridCol w:w="5900"/>
      </w:tblGrid>
      <w:tr>
        <w:trPr/>
        <w:tc>
          <w:tcPr>
            <w:tcW w:w="335" w:type="dxa"/>
            <w:tcBorders/>
            <w:vAlign w:val="center"/>
          </w:tcPr>
          <w:p>
            <w:pPr>
              <w:pStyle w:val="TableContents"/>
              <w:bidi w:val="0"/>
              <w:spacing w:before="0" w:after="283"/>
              <w:jc w:val="left"/>
              <w:rPr>
                <w:b/>
              </w:rPr>
            </w:pPr>
            <w:r>
              <w:rPr>
                <w:b/>
              </w:rPr>
              <w:t>18.</w:t>
            </w:r>
          </w:p>
        </w:tc>
        <w:tc>
          <w:tcPr>
            <w:tcW w:w="5900" w:type="dxa"/>
            <w:tcBorders/>
            <w:vAlign w:val="center"/>
          </w:tcPr>
          <w:p>
            <w:pPr>
              <w:pStyle w:val="TableContents"/>
              <w:bidi w:val="0"/>
              <w:spacing w:before="0" w:after="0"/>
              <w:jc w:val="left"/>
              <w:rPr>
                <w:b/>
              </w:rPr>
            </w:pPr>
            <w:r>
              <w:rPr>
                <w:b/>
              </w:rPr>
              <w:t>Why has Synaptics stopped providing earnings guidance?</w:t>
            </w:r>
          </w:p>
        </w:tc>
      </w:tr>
    </w:tbl>
    <w:p>
      <w:pPr>
        <w:pStyle w:val="Normal"/>
        <w:bidi w:val="0"/>
        <w:spacing w:before="0" w:after="0"/>
        <w:jc w:val="left"/>
        <w:rPr>
          <w:sz w:val="4"/>
          <w:szCs w:val="4"/>
        </w:rPr>
      </w:pPr>
      <w:r>
        <w:rPr>
          <w:sz w:val="4"/>
          <w:szCs w:val="4"/>
        </w:rPr>
      </w:r>
      <w:bookmarkStart w:id="138" w:name="zfb36c45e55b0498989f1dbe3c058c18a"/>
      <w:bookmarkStart w:id="139" w:name="zfb36c45e55b0498989f1dbe3c058c18a"/>
      <w:bookmarkEnd w:id="139"/>
    </w:p>
    <w:tbl>
      <w:tblPr>
        <w:tblW w:w="10188" w:type="dxa"/>
        <w:jc w:val="left"/>
        <w:tblInd w:w="0" w:type="dxa"/>
        <w:tblLayout w:type="fixed"/>
        <w:tblCellMar>
          <w:top w:w="0" w:type="dxa"/>
          <w:left w:w="0" w:type="dxa"/>
          <w:bottom w:w="0" w:type="dxa"/>
          <w:right w:w="0" w:type="dxa"/>
        </w:tblCellMar>
      </w:tblPr>
      <w:tblGrid>
        <w:gridCol w:w="38"/>
        <w:gridCol w:w="110"/>
        <w:gridCol w:w="100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0"/>
              <w:jc w:val="left"/>
              <w:rPr/>
            </w:pPr>
            <w:r>
              <w:rPr/>
              <w:t>This is standard practice for companies with pending transactions during the interim period before closing.</w:t>
            </w:r>
          </w:p>
        </w:tc>
      </w:tr>
    </w:tbl>
    <w:p>
      <w:pPr>
        <w:pStyle w:val="Normal"/>
        <w:bidi w:val="0"/>
        <w:spacing w:before="0" w:after="0"/>
        <w:jc w:val="left"/>
        <w:rPr>
          <w:sz w:val="4"/>
          <w:szCs w:val="4"/>
        </w:rPr>
      </w:pPr>
      <w:r>
        <w:rPr>
          <w:sz w:val="4"/>
          <w:szCs w:val="4"/>
        </w:rPr>
      </w:r>
      <w:bookmarkStart w:id="140" w:name="z7a4b870c2ae94a45bfba810ed07182b0"/>
      <w:bookmarkStart w:id="141" w:name="z7a4b870c2ae94a45bfba810ed07182b0"/>
      <w:bookmarkEnd w:id="1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However, Synaptics is continuing to issue earnings reports and quarterly 10-Q filings in the normal course as we maintain our typical financial reporting and disclosure practices.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2" w:name="z02bdf3f8122a43fa847023fafb584f03"/>
      <w:bookmarkStart w:id="143" w:name="z02bdf3f8122a43fa847023fafb584f03"/>
      <w:bookmarkEnd w:id="143"/>
    </w:p>
    <w:tbl>
      <w:tblPr>
        <w:tblW w:w="5500" w:type="dxa"/>
        <w:jc w:val="left"/>
        <w:tblInd w:w="0" w:type="dxa"/>
        <w:tblLayout w:type="fixed"/>
        <w:tblCellMar>
          <w:top w:w="0" w:type="dxa"/>
          <w:left w:w="0" w:type="dxa"/>
          <w:bottom w:w="0" w:type="dxa"/>
          <w:right w:w="0" w:type="dxa"/>
        </w:tblCellMar>
      </w:tblPr>
      <w:tblGrid>
        <w:gridCol w:w="335"/>
        <w:gridCol w:w="5165"/>
      </w:tblGrid>
      <w:tr>
        <w:trPr/>
        <w:tc>
          <w:tcPr>
            <w:tcW w:w="335" w:type="dxa"/>
            <w:tcBorders/>
            <w:vAlign w:val="center"/>
          </w:tcPr>
          <w:p>
            <w:pPr>
              <w:pStyle w:val="TableContents"/>
              <w:bidi w:val="0"/>
              <w:spacing w:before="0" w:after="283"/>
              <w:jc w:val="left"/>
              <w:rPr>
                <w:b/>
              </w:rPr>
            </w:pPr>
            <w:r>
              <w:rPr>
                <w:b/>
              </w:rPr>
              <w:t>19.</w:t>
            </w:r>
          </w:p>
        </w:tc>
        <w:tc>
          <w:tcPr>
            <w:tcW w:w="5165" w:type="dxa"/>
            <w:tcBorders/>
            <w:vAlign w:val="center"/>
          </w:tcPr>
          <w:p>
            <w:pPr>
              <w:pStyle w:val="TableContents"/>
              <w:bidi w:val="0"/>
              <w:spacing w:before="0" w:after="0"/>
              <w:jc w:val="left"/>
              <w:rPr>
                <w:b/>
              </w:rPr>
            </w:pPr>
            <w:r>
              <w:rPr>
                <w:b/>
              </w:rPr>
              <w:t>What approvals remain between now and closing?</w:t>
            </w:r>
          </w:p>
        </w:tc>
      </w:tr>
    </w:tbl>
    <w:p>
      <w:pPr>
        <w:pStyle w:val="Normal"/>
        <w:bidi w:val="0"/>
        <w:spacing w:before="0" w:after="0"/>
        <w:jc w:val="left"/>
        <w:rPr>
          <w:sz w:val="4"/>
          <w:szCs w:val="4"/>
        </w:rPr>
      </w:pPr>
      <w:r>
        <w:rPr>
          <w:sz w:val="4"/>
          <w:szCs w:val="4"/>
        </w:rPr>
      </w:r>
      <w:bookmarkStart w:id="144" w:name="ze30c04f5fa7f4331b6790e4f5dccac8c"/>
      <w:bookmarkStart w:id="145" w:name="ze30c04f5fa7f4331b6790e4f5dccac8c"/>
      <w:bookmarkEnd w:id="145"/>
    </w:p>
    <w:tbl>
      <w:tblPr>
        <w:tblW w:w="9948" w:type="dxa"/>
        <w:jc w:val="left"/>
        <w:tblInd w:w="0" w:type="dxa"/>
        <w:tblLayout w:type="fixed"/>
        <w:tblCellMar>
          <w:top w:w="0" w:type="dxa"/>
          <w:left w:w="0" w:type="dxa"/>
          <w:bottom w:w="0" w:type="dxa"/>
          <w:right w:w="0" w:type="dxa"/>
        </w:tblCellMar>
      </w:tblPr>
      <w:tblGrid>
        <w:gridCol w:w="38"/>
        <w:gridCol w:w="110"/>
        <w:gridCol w:w="98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transaction is subject to customary closing conditions, including regulatory approvals across multiple jurisdictions.</w:t>
            </w:r>
          </w:p>
        </w:tc>
      </w:tr>
    </w:tbl>
    <w:p>
      <w:pPr>
        <w:pStyle w:val="Normal"/>
        <w:bidi w:val="0"/>
        <w:spacing w:before="0" w:after="0"/>
        <w:jc w:val="left"/>
        <w:rPr>
          <w:sz w:val="4"/>
          <w:szCs w:val="4"/>
        </w:rPr>
      </w:pPr>
      <w:r>
        <w:rPr>
          <w:sz w:val="4"/>
          <w:szCs w:val="4"/>
        </w:rPr>
      </w:r>
      <w:bookmarkStart w:id="146" w:name="z83002eff2a0c489c88f37a2b5abb74c2"/>
      <w:bookmarkStart w:id="147" w:name="z83002eff2a0c489c88f37a2b5abb74c2"/>
      <w:bookmarkEnd w:id="147"/>
    </w:p>
    <w:tbl>
      <w:tblPr>
        <w:tblW w:w="8733" w:type="dxa"/>
        <w:jc w:val="left"/>
        <w:tblInd w:w="0" w:type="dxa"/>
        <w:tblLayout w:type="fixed"/>
        <w:tblCellMar>
          <w:top w:w="0" w:type="dxa"/>
          <w:left w:w="0" w:type="dxa"/>
          <w:bottom w:w="0" w:type="dxa"/>
          <w:right w:w="0" w:type="dxa"/>
        </w:tblCellMar>
      </w:tblPr>
      <w:tblGrid>
        <w:gridCol w:w="38"/>
        <w:gridCol w:w="110"/>
        <w:gridCol w:w="85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0"/>
              <w:jc w:val="left"/>
              <w:rPr/>
            </w:pPr>
            <w:r>
              <w:rPr/>
              <w:t>As previously noted, Synaptics shareholders must approve the merger at a special meeting.</w:t>
            </w:r>
          </w:p>
        </w:tc>
      </w:tr>
    </w:tbl>
    <w:p>
      <w:pPr>
        <w:pStyle w:val="Normal"/>
        <w:bidi w:val="0"/>
        <w:spacing w:before="0" w:after="0"/>
        <w:jc w:val="left"/>
        <w:rPr>
          <w:sz w:val="4"/>
          <w:szCs w:val="4"/>
        </w:rPr>
      </w:pPr>
      <w:r>
        <w:rPr>
          <w:sz w:val="4"/>
          <w:szCs w:val="4"/>
        </w:rPr>
      </w:r>
      <w:bookmarkStart w:id="148" w:name="z9aa03895d6894f23b8ee920b0155727e"/>
      <w:bookmarkStart w:id="149" w:name="z9aa03895d6894f23b8ee920b0155727e"/>
      <w:bookmarkEnd w:id="1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Subject to satisfaction of these conditions, we remain on track to close the transaction with onsemi in mid-2027.</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are more fully discussed in the proxy statement/prospectus that is included in the Registration Statement on Form S-4 that has been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proposed transaction will be submitted to the stockholders of Synaptics for their consideration. In connection with the proposed transaction, on August 21, 2026, onsemi filed with the SEC a Registration Statement on Form S-4 that included a proxy statement of Synaptics and that also constituted a prospectus of onsemi. Each of Synaptics and onsemi will provide the proxy statement/prospectus to Synaptics stockholders. These materials are not yet final and will be amended. Synaptics and onsemi also plan to file other documents with the SEC regarding the proposed transaction. This document is not a substitute for any prospectus, proxy statement or any other document which Synaptics and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CONTAIN OR WILL CONTAIN IMPORTANT INFORMATION ABOUT THE PROPOSED TRANSACTION. You may obtain copies of all documents filed with the SEC regarding this transaction, free of charge, at the SEC’s website (</w:t>
      </w:r>
      <w:r>
        <w:rPr>
          <w:rFonts w:ascii="Times New Roman;Times;serif" w:hAnsi="Times New Roman;Times;serif"/>
          <w:color w:val="000000"/>
          <w:sz w:val="20"/>
          <w:u w:val="single"/>
        </w:rPr>
        <w:t>www.sec.gov</w:t>
      </w:r>
      <w:r>
        <w:rPr>
          <w:rFonts w:ascii="Times New Roman;Times;serif" w:hAnsi="Times New Roman;Times;serif"/>
          <w:color w:val="000000"/>
          <w:sz w:val="20"/>
        </w:rPr>
        <w:t>). In addition, investors and stockholders will be able to obtain free copies of the proxy statement/prospectus and other documents filed with the SEC by the parties on Synaptics Investor Relations at </w:t>
      </w:r>
      <w:r>
        <w:rPr>
          <w:rFonts w:ascii="Times New Roman;Times;serif" w:hAnsi="Times New Roman;Times;serif"/>
          <w:color w:val="000000"/>
          <w:sz w:val="20"/>
          <w:u w:val="single"/>
        </w:rPr>
        <w:t>https://investor.synaptics.com/</w:t>
      </w:r>
      <w:r>
        <w:rPr>
          <w:rFonts w:ascii="Times New Roman;Times;serif" w:hAnsi="Times New Roman;Times;serif"/>
          <w:color w:val="000000"/>
          <w:sz w:val="20"/>
        </w:rPr>
        <w:t xml:space="preserve"> (for documents filed with the SEC by Synaptics) or onsemi Investor Relations at </w:t>
      </w:r>
      <w:r>
        <w:rPr>
          <w:rFonts w:ascii="Times New Roman;Times;serif" w:hAnsi="Times New Roman;Times;serif"/>
          <w:color w:val="000000"/>
          <w:sz w:val="20"/>
          <w:u w:val="single"/>
        </w:rPr>
        <w:t>https://investor.onsemi.com/</w:t>
      </w:r>
      <w:r>
        <w:rPr>
          <w:rFonts w:ascii="Times New Roman;Times;serif" w:hAnsi="Times New Roman;Times;serif"/>
          <w:color w:val="000000"/>
          <w:sz w:val="20"/>
        </w:rPr>
        <w:t xml:space="preserve"> (for documents filed with the SEC by onsemi).</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Times;serif" w:hAnsi="Times New Roman;Times;serif"/>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that will be provided to Synaptics stockholders.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2">
        <w:r>
          <w:rPr>
            <w:rStyle w:val="InternetLink"/>
          </w:rPr>
          <w:t>September 16, 2025</w:t>
        </w:r>
      </w:hyperlink>
      <w:r>
        <w:rPr>
          <w:rFonts w:ascii="Times New Roman;Times;serif" w:hAnsi="Times New Roman;Times;serif"/>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Times;serif" w:hAnsi="Times New Roman;Times;serif"/>
          <w:color w:val="000000"/>
          <w:sz w:val="20"/>
          <w:u w:val="single"/>
        </w:rPr>
        <w:t>https://www.sec.gov/edgar/browse/?CIK=817720&amp;owner=exclude</w:t>
      </w:r>
      <w:r>
        <w:rPr>
          <w:rFonts w:ascii="Times New Roman;Times;serif" w:hAnsi="Times New Roman;Times;serif"/>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3">
        <w:r>
          <w:rPr>
            <w:rStyle w:val="InternetLink"/>
          </w:rPr>
          <w:t>April 2, 2026</w:t>
        </w:r>
      </w:hyperlink>
      <w:r>
        <w:rPr>
          <w:rFonts w:ascii="Times New Roman;Times;serif" w:hAnsi="Times New Roman;Times;serif"/>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Times;serif" w:hAnsi="Times New Roman;Times;serif"/>
          <w:color w:val="000000"/>
          <w:sz w:val="20"/>
          <w:u w:val="single"/>
        </w:rPr>
        <w:t>https://www.sec.gov/edgar/browse/?CIK=1097864&amp;owner=exclude</w:t>
      </w:r>
      <w:r>
        <w:rPr>
          <w:rFonts w:ascii="Times New Roman;Times;serif" w:hAnsi="Times New Roman;Times;serif"/>
          <w:color w:val="000000"/>
          <w:sz w:val="20"/>
        </w:rPr>
        <w:t xml:space="preserve"> under the tab “Ownership Disclosures”. Additional information about Synaptics’ executive officers and directors and onsemi’s executive officers and directors can be found in the above-referenced Registration Statement on Form S-4.</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17720/000081772025000083/syna-20250916.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3384</Words>
  <Characters>19207</Characters>
  <CharactersWithSpaces>22416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