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Bodensteiner Lisa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1109 MCKAY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SYNAPTICS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63,718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by the Issuer to satisfy certain tax withholding obligations associated with the settlement of restricted stock units and performance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Senior Vice President, Chief Legal Officer and Corporate Secretary.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Pamela Fields,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3272" TargetMode="External"/><Relationship Id="rId14" Type="http://schemas.openxmlformats.org/officeDocument/2006/relationships/hyperlink" Target="http://www.sec.gov/cgi-bin/browse-edgar?action=getcompany&amp;CIK=000081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2026-05-19T12:55:37Z</dcterms:created>
  <dcterms:modified xsi:type="dcterms:W3CDTF">2026-05-19T12:55:37Z</dcterms:modified>
</cp:coreProperties>
</file>